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Aetna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NT P30 Ortho PPO 1000 90th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$50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$150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$1000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70%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70%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70%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70%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70%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 </w:t>
      </w:r>
    </w:p>
    <w:p w:rsidR="00000000" w:rsidDel="00000000" w:rsidP="00000000" w:rsidRDefault="00000000" w:rsidRPr="00000000" w14:paraId="0000001E">
      <w:pPr>
        <w:tabs>
          <w:tab w:val="center" w:leader="none" w:pos="4680"/>
        </w:tabs>
        <w:rPr/>
      </w:pPr>
      <w:r w:rsidDel="00000000" w:rsidR="00000000" w:rsidRPr="00000000">
        <w:rPr>
          <w:rtl w:val="0"/>
        </w:rPr>
        <w:t xml:space="preserve">Out-of-Network Crowns: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50%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$1000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Adult and Child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With the PPO plan, savings are possible because the participating dentists have agreed to provide care for covered services at negotiated rates. Non-participating benefits are subject to recognized charge limits.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12 months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PPO II and ExtendSM Networks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  <w:hyperlink r:id="rId7">
        <w:r w:rsidDel="00000000" w:rsidR="00000000" w:rsidRPr="00000000">
          <w:rPr>
            <w:color w:val="467886"/>
            <w:u w:val="single"/>
            <w:rtl w:val="0"/>
          </w:rPr>
          <w:t xml:space="preserve">www.aetna.com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aetna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HmZMLZ2QaNcPf69FI7pY3p/nKQ==">CgMxLjA4AHIhMXZiRFgyOHAwb0hLcHNWMXNDUDZ5UGx0cTc0MGY0cEtz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