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5FKQ CA Platinum PPO 100/90/60 Active 50/2500 90th E&amp;P Basic CH Ortho/2k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$2,500 </w:t>
      </w:r>
    </w:p>
    <w:p w:rsidR="00000000" w:rsidDel="00000000" w:rsidP="00000000" w:rsidRDefault="00000000" w:rsidRPr="00000000" w14:paraId="00000008">
      <w:pPr>
        <w:rPr/>
      </w:pPr>
      <w:r w:rsidDel="00000000" w:rsidR="00000000" w:rsidRPr="00000000">
        <w:rPr>
          <w:rtl w:val="0"/>
        </w:rPr>
        <w:t xml:space="preserve">Out-of-Network Annual Maximum: $2,500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90%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90%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90%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90%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90%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60%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60%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60%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60%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$2,000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eRDzweV09Sg8/VXkhcKCNVh/Q==">CgMxLjA4AHIhMWlCR3k5VjV6RERKX19Nc2Y5S3lVcUhjVmpJUzlEMkR1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