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5FKT CA Platinum PPO 100/90/60 Active 50/2000 90th E&amp;P Basic A/C Ortho/2k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$2,000 </w:t>
      </w:r>
    </w:p>
    <w:p w:rsidR="00000000" w:rsidDel="00000000" w:rsidP="00000000" w:rsidRDefault="00000000" w:rsidRPr="00000000" w14:paraId="00000008">
      <w:pPr>
        <w:rPr/>
      </w:pPr>
      <w:r w:rsidDel="00000000" w:rsidR="00000000" w:rsidRPr="00000000">
        <w:rPr>
          <w:rtl w:val="0"/>
        </w:rPr>
        <w:t xml:space="preserve">Out-of-Network Annual Maximum: $2,000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90%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90%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90%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90%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90%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60%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60%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60%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60%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$2,000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7PFqbbgxlqRX+ESyiX5rJlqXuQ==">CgMxLjA4AHIhMXVWWUdKTWF5SnBJcm1jVnVJcFYyREhLNGpPUG1KLU1s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