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5FL0 CA Bronze PPO 100/80/50 Active 50/Unlimited MAC E&amp;P Basic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Unlimited  </w:t>
      </w:r>
    </w:p>
    <w:p w:rsidR="00000000" w:rsidDel="00000000" w:rsidP="00000000" w:rsidRDefault="00000000" w:rsidRPr="00000000" w14:paraId="00000008">
      <w:pPr>
        <w:rPr/>
      </w:pPr>
      <w:r w:rsidDel="00000000" w:rsidR="00000000" w:rsidRPr="00000000">
        <w:rPr>
          <w:rtl w:val="0"/>
        </w:rPr>
        <w:t xml:space="preserve">Out-of-Network Annual Maximum: Unlimited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60%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60%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60%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60%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60%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Not Covered </w:t>
      </w:r>
    </w:p>
    <w:p w:rsidR="00000000" w:rsidDel="00000000" w:rsidP="00000000" w:rsidRDefault="00000000" w:rsidRPr="00000000" w14:paraId="00000026">
      <w:pPr>
        <w:rPr/>
      </w:pPr>
      <w:r w:rsidDel="00000000" w:rsidR="00000000" w:rsidRPr="00000000">
        <w:rPr>
          <w:rtl w:val="0"/>
        </w:rPr>
        <w:t xml:space="preserve">Out-of-Network Orthodontia: Not Covered  </w:t>
      </w:r>
    </w:p>
    <w:p w:rsidR="00000000" w:rsidDel="00000000" w:rsidP="00000000" w:rsidRDefault="00000000" w:rsidRPr="00000000" w14:paraId="00000027">
      <w:pPr>
        <w:rPr/>
      </w:pPr>
      <w:r w:rsidDel="00000000" w:rsidR="00000000" w:rsidRPr="00000000">
        <w:rPr>
          <w:rtl w:val="0"/>
        </w:rPr>
        <w:t xml:space="preserve">Orthodontia Lifetime Maximum: Not Covered </w:t>
      </w:r>
    </w:p>
    <w:p w:rsidR="00000000" w:rsidDel="00000000" w:rsidP="00000000" w:rsidRDefault="00000000" w:rsidRPr="00000000" w14:paraId="00000028">
      <w:pPr>
        <w:rPr/>
      </w:pPr>
      <w:r w:rsidDel="00000000" w:rsidR="00000000" w:rsidRPr="00000000">
        <w:rPr>
          <w:rtl w:val="0"/>
        </w:rPr>
        <w:t xml:space="preserve">Orthodontia Maximum Age: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DyGQRPWu1dsuiw2H+YS5WY5PQ==">CgMxLjA4AHIhMURHZW4yMkpRRnpBWjdxdHl4Nlc5VENFUnJDM3hWU1dO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