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1P968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$41.60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$20.00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$60.00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$21.60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$35.40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$18.50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$1,862.00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9qz0eKVEFOBcC25C6J9AkiW3A==">CgMxLjA4AHIhMVp6WEF5c2U1V1RKX0RSN0ZqZUFDRS1uRlVHT3RUSjdz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