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P1256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80%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80%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80%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80%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60%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6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UvVp/yfJFJkhKrqNZa6rT46dww==">CgMxLjA4AHIhMUhjRk5LNmlEcFFORnRlVm54VGtSYW1oRDhfei1YaG9Y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