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b9GZLzbHc+LQobNo8S+kmPjsIQ==">CgMxLjA4AHIhMXV4TnRQS1FsZVRFR2drS0pOTjZVcWRwWTMzRGw2M0dw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