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P2918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$1,000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$1,000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50%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50%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6 months for major services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2013-2014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bIFabgcVju9vmtoa1PNX2D+z8w==">CgMxLjA4AHIhMTFUa2o0QmpiU2d2VDRVNTVDU1Z3MVMycWxUYjhpQTJm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