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0X600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2,000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2,000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100%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100%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100%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100%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100%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100%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100%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100%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100%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100%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60%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60%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60%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60%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No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2024-2025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MaxMultiplier Voluntary National Options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tuiRguEaQZANqLHwFye9PEbSA==">CgMxLjA4AHIhMUM0NEVaQUNTZnNqUXVTV21Rc18yLXNDbTNJdmNKM0p4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