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35X69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2,000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2,000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Benefit is not to exceed in combination with periodontal maintenance 4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No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Adult &amp; Child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2025-2026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8ftIrNgbhQXC1otOFhWr46v7DA==">CgMxLjA4AHIhMWVhTHhfbUcwRUw0VTlobFQzZEVaaXgtX1BjTlJ0R2pY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2025-08-07T14:44:00Z</dcterms:created>
  <dc:creator>joe@bisohio.com</dc:creator>
</cp:coreProperties>
</file>