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35X70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50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2,000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2,000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Benefit is not to exceed in combination with periodontal maintenance 4 per consecutive 12 months.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No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Adult &amp; Child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2025-2026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PPO 20 Network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EtvkRZmPX8Ve5WXHu3bmW9E55g==">CgMxLjA4AHIhMUZacFZzemt1VEo3TThHMEpkRllWR1JzY1VsLTh6UUpZ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2025-08-07T14:44:00Z</dcterms:created>
  <dc:creator>joe@bisohio.com</dc:creator>
</cp:coreProperties>
</file>