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P5406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100%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100%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100%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100%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30 Network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Y7klu3H/7uThYLpfGAzx+oJNBQ==">CgMxLjA4AHIhMWRoblI2My1hZVUyYVRORmZJQ0N0b1E1enhqa0V2QXdj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