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35X71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90%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90%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60%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60%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90%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60%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60%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60%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60%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60%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J0st4DbVnYy9gwoWfliFWHE3gg==">CgMxLjA4AHIhMWJZTkNILWVYSkdqSURoZ0tmdWs5V2Y2ckE5WGVoTnNl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