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0X407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$2,000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2024-2025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uzrSG8uv4sxZRMUeFGxKLcOUQ==">CgMxLjA4AHIhMXh3SHJteXlPcEVvaC1SbjdxYWQ2a01qYld1MVB2bjRF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