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P5406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100%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100%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100%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100%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ofbueObOrtlrCdzGyJl61CPtPw==">CgMxLjA4AHIhMWFjY2ExbjRpSlRMTHJTdW9ybVRPTGtvNjF1OWEwREFq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