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X2225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60%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j/W6/ouFRLCbe0zLVTnWPvf1vQ==">CgMxLjA4AHIhMWJYTU5qRWJjNk5feWVtR0JIN2lkanNEVENHWUpOdk5V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