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X3303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$1,200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$1,200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Benefit is not to exceed in combination with periodontal maintenance 4 per consecutive 12 months.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90%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90%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90%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90%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60%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50%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50%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50%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50%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50%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50%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50%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50%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50%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50%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2015-2016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Voluntary National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Y7xfe+obUwJQdESiiXVE8FUqUg==">CgMxLjA4AHIhMTNNMFlMQzBCeENWMXlGUGRmdDcxbkZrWkxyQjBFNWhf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