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35X64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$25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$75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$2,000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$2,000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Benefit is not to exceed in combination with periodontal maintenance 4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Adult &amp; ChildUp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na3qlcsdvmUoPN1YFQvaujmI4g==">CgMxLjA4AHIhMWhfWFNyc0lXMGNPRV9SVTNUNGdxUGZ0cXNfc2w4WTBz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