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35X65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$25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$75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$50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$150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$2,000 per person per calendar year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$2,000 per person per calendar year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Benefit is not to exceed in combination with periodontal maintenance 4 per consecutive 12 months.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times per consecutive 12 months.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100%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100%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100%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100%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80%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80%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80%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80%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50%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50%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50%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50%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50%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50%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Out-of-Network Crowns: 50%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50%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50%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50%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50%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50%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50%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50%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$1,500 per person per Lifetime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Child OnlyUp to Age 19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The non-network percentage of benefits is based on the allowable amount applicable for the same service that would have been rendered by a network provider.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No waiting period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2025-2026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National Options PPO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myuhc.com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Header">
    <w:name w:val="header"/>
    <w:basedOn w:val="Normal"/>
    <w:link w:val="HeaderChar"/>
    <w:uiPriority w:val="99"/>
    <w:unhideWhenUsed w:val="1"/>
    <w:rsid w:val="007E736A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E736A"/>
  </w:style>
  <w:style w:type="paragraph" w:styleId="Footer">
    <w:name w:val="footer"/>
    <w:basedOn w:val="Normal"/>
    <w:link w:val="FooterChar"/>
    <w:uiPriority w:val="99"/>
    <w:unhideWhenUsed w:val="1"/>
    <w:rsid w:val="007E736A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E736A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pfJ6PnAr28UCH4bO1dymgn13uw==">CgMxLjA4AHIhMTFQZS1lUUNqcUxBOHg4SWtlVVo1Qmx3ck5UdF9udXpw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