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35X72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90%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90%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90%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90%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60%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60%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60%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60%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90%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90%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60%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60%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60%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60%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60%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60%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60%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60%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4NRoade/wyjLyQmu0AyrfLIEA==">CgMxLjA4AHIhMVdqaDVQSFhYd09HQkdYWEdBajM1ajY0QjNWLXgwUGJu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