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I1898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$50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$150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Adult &amp; Child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2022-2023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Indemnity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myuhc.com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Header">
    <w:name w:val="header"/>
    <w:basedOn w:val="Normal"/>
    <w:link w:val="Head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7E736A"/>
  </w:style>
  <w:style w:type="paragraph" w:styleId="Footer">
    <w:name w:val="footer"/>
    <w:basedOn w:val="Normal"/>
    <w:link w:val="FooterChar"/>
    <w:uiPriority w:val="99"/>
    <w:unhideWhenUsed w:val="1"/>
    <w:rsid w:val="007E736A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7E736A"/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gC1ijqzZcMUJxRGI5hz/3U53WA==">CgMxLjA4AHIhMV9kRGRVUjE3OUtVc0d2UnNpcGU1RnotelpqVHhuYlps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