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Indirect export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Pedagang export =&gt; packing lagi dari penjual lokal misalnya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 komisi =&gt; hanya terima komisi (brandingnya tidak berubah2). Dokumen ekspor tidak mudah.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EMC =&gt; yang diekspor misalnya barang2 seperti mobil/motor (perusahaan besar) → tidak mau punya div ekspor karena ribet dan costnya besar.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export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Div. export =&gt; punya divisi sendiri. Bisa mengisi letter of credit.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direct invest =&gt; pabrik coca cola amatil misalnya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License =&gt; ke pendidikan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Franchise =&gt; ke produk =&gt; kalau ada hal buruk di franchise X, nanti franchise Y, Z ikut kena dampak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Banyak grey area ketika melakukan transaksi ekspor impor.di website semua info kontak lengkap, ketika melakukan transaksi import webnya hilang (terjadi penipuan)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Joint venture → ada investor ngasih modal (investor asing maksimal ngasih modal 49%)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Wholly own subsidiaries → china menolak coca cola untuk membeli huiyuan juice group karena takut perusahaan jus ini akan tersaingi akhirnya hanya mendapat 20% penawaran pemilikan.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Terbagi dua cara: merger dan akuisisi (ocbc nisp, cimb niaga) aturan ngikut yg pusat + greenfield operasi (perusahaan baru)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Aliansi → patungan. Biasanya dunia otomotif (toyota + daihatsu → xenia)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Kontrak manufaktur → perjanjian/kontrak ada umurnya jadi harus diperbarui terus karena pasar berubah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