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 Nasty Gal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Bisnis pakaian vintage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 Menggunakan teknologi dengan membuat page Nasty Gal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Produk yang harganya murah dapat dijual mahal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Nasty Gal memiliki ciri khas vintage-looking clothes dengan harga yang terjangkau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- Sophia Amoruso berani mengambil resiko untuk membuka usaha sendiri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Karena menawarkan produk melalui web page sendiri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 Birchbox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E-commerce di mana user harus berlangganan $10/bulan, nanti setiap bulannya diberikan 1 box sampling. Kalau user tertarik, maka user dapat membeli produknya.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Diberi box sampling yang baru hanya dengan berlangganan $10/bulan. Box tersebut berisikan produk kecantikan yang baru sehingga cukup menarik user untuk tetap berlangganan.Sistem transaksinya dipermudah sehingga user dapat dengan mudah bertransaksi.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Studi Kasus Coffee Joulies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Membuat es batu PCM berbentuk biji kopi yang terbuat dari logam yang bisa menyerap kelebihan energi ketika suhu lebih dari yang diinginkan / memanaskan ketika suhu kurang dari yang diinginkan.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Dapat membantu menyesuaikan suhu sesuai yang diinginkan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 Startup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Website untuk kelola limbah makanan (limbah makanan yang dimaksud adalah makanan/minuman layak konsumsi yang belum terjual sebelum mendekati waktu tutup toko)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Arya Tri Putra Majiah / 2072023</w:t>
    </w:r>
  </w:p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Sherly Santiadi / 2072025</w:t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Grace Angelina Gunawan / 2072028</w:t>
    </w:r>
  </w:p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>
        <w:rtl w:val="0"/>
      </w:rPr>
      <w:t xml:space="preserve">Kathleen Felicia Annabel / 2072038</w:t>
    </w:r>
  </w:p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