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8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>
        <w:rPr>
          <w:rFonts w:ascii="Microsoft YaHei" w:hAnsi="Microsoft YaHei" w:eastAsia="Microsoft YaHei" w:cs="Microsoft YaHei"/>
          <w:b/>
          <w:color w:val="111827"/>
          <w:sz w:val="40"/>
        </w:rPr>
        <w:t>智水云 AI 水表收费管理系统非功能测试报告</w:t>
      </w:r>
    </w:p>
    <w:p>
      <w:pPr>
        <w:spacing w:after="240" w:line="324" w:lineRule="auto"/>
      </w:pPr>
      <w:r>
        <w:rPr>
          <w:rFonts w:ascii="Microsoft YaHei" w:hAnsi="Microsoft YaHei" w:eastAsia="Microsoft YaHei" w:cs="Microsoft YaHei"/>
          <w:color w:val="4B5563"/>
          <w:sz w:val="20"/>
        </w:rPr>
        <w:t>测试对象：water-meter-prototype（main 分支，提交 22c7dd3）　　测试日期：2026 年 10 月 13 日</w:t>
      </w:r>
    </w:p>
    <w:p>
      <w:pPr>
        <w:pStyle w:val="Heading1"/>
        <w:spacing w:before="280" w:after="120"/>
      </w:pPr>
      <w:r>
        <w:rPr>
          <w:rFonts w:ascii="Microsoft YaHei" w:hAnsi="Microsoft YaHei" w:eastAsia="Microsoft YaHei" w:cs="Microsoft YaHei"/>
          <w:b/>
          <w:color w:val="0F766E"/>
          <w:sz w:val="32"/>
        </w:rPr>
        <w:t>一、测试概述</w:t>
      </w:r>
    </w:p>
    <w:p>
      <w:pPr>
        <w:spacing w:after="120" w:line="324" w:lineRule="auto"/>
      </w:pPr>
      <w:r>
        <w:rPr>
          <w:rFonts w:ascii="Microsoft YaHei" w:hAnsi="Microsoft YaHei" w:eastAsia="Microsoft YaHei" w:cs="Microsoft YaHei"/>
          <w:sz w:val="21"/>
        </w:rPr>
        <w:t>本报告记录对智水云 AI 水表收费管理系统（Vue 3 前端 + Spring Boot 3.3.5 后端 + SQLite）所做的非功能测试，覆盖性能效率、安全、兼容性、可靠性、易用性与无障碍六个方面，共设计并执行 21 个用例。测试在同一套真实联调环境上进行：性能与安全项由脚本直连后端 REST 接口采集，界面相关项由 Playwright 驱动浏览器实测，可靠性项通过停服务与重启后端注入故障。</w:t>
      </w:r>
    </w:p>
    <w:p>
      <w:pPr>
        <w:spacing w:after="120" w:line="324" w:lineRule="auto"/>
      </w:pPr>
      <w:r>
        <w:rPr>
          <w:rFonts w:ascii="Microsoft YaHei" w:hAnsi="Microsoft YaHei" w:eastAsia="Microsoft YaHei" w:cs="Microsoft YaHei"/>
          <w:sz w:val="21"/>
        </w:rPr>
        <w:t>结果：20 项通过、1 项不符合预期。发现 1 个接口健壮性缺陷（分页参数类型错误返回 500）与 3 项需要关注的观察项（后端不可用时的英文提示、跨域配置过宽、构建 chunk 体积告警）；未发现越权、数据泄漏、数据丢失或会话失效类问题。每个用例均保留实测证据截图。</w:t>
      </w:r>
    </w:p>
    <w:p>
      <w:pPr>
        <w:spacing w:after="120" w:line="324" w:lineRule="auto"/>
      </w:pPr>
      <w:r>
        <w:rPr>
          <w:rFonts w:ascii="Microsoft YaHei" w:hAnsi="Microsoft YaHei" w:eastAsia="Microsoft YaHei" w:cs="Microsoft YaHei"/>
          <w:sz w:val="21"/>
        </w:rPr>
        <w:t>非功能测试使用独立数据库副本与独立端口（后端 8001、前端 5174），可靠性用例会停止并重启该实例的后端进程，不影响其他人正在使用的演示环境。</w:t>
      </w:r>
    </w:p>
    <w:p>
      <w:pPr>
        <w:pStyle w:val="Heading1"/>
        <w:spacing w:before="280" w:after="120"/>
      </w:pPr>
      <w:r>
        <w:rPr>
          <w:rFonts w:ascii="Microsoft YaHei" w:hAnsi="Microsoft YaHei" w:eastAsia="Microsoft YaHei" w:cs="Microsoft YaHei"/>
          <w:b/>
          <w:color w:val="0F766E"/>
          <w:sz w:val="32"/>
        </w:rPr>
        <w:t>二、测试对象与依据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041"/>
            <w:shd w:val="clear" w:fill="F0FAF9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0F766E"/>
                <w:sz w:val="19"/>
              </w:rPr>
              <w:t>测试对象</w:t>
            </w:r>
          </w:p>
        </w:tc>
        <w:tc>
          <w:tcPr>
            <w:tcW w:type="dxa" w:w="7597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sz w:val="19"/>
              </w:rPr>
              <w:t>智水云 AI 水表收费管理系统：Vue 3 + TypeScript + Vite 前端（Element Plus、ECharts、Pinia、Axios）与 Spring Boot 3.3.5 + SQLite 后端</w:t>
            </w:r>
          </w:p>
        </w:tc>
      </w:tr>
      <w:tr>
        <w:tc>
          <w:tcPr>
            <w:tcW w:type="dxa" w:w="2041"/>
            <w:shd w:val="clear" w:fill="F0FAF9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0F766E"/>
                <w:sz w:val="19"/>
              </w:rPr>
              <w:t>代码来源</w:t>
            </w:r>
          </w:p>
        </w:tc>
        <w:tc>
          <w:tcPr>
            <w:tcW w:type="dxa" w:w="7597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sz w:val="19"/>
              </w:rPr>
              <w:t>GitHub 仓库 sntt-1-2-3/water-meter-prototype 的 main 分支，提交 22c7dd3（2026-10-13 18:43，“Merge pull request #1: 完善 Java 水表系统与 Vue 联调”）</w:t>
            </w:r>
          </w:p>
        </w:tc>
      </w:tr>
      <w:tr>
        <w:tc>
          <w:tcPr>
            <w:tcW w:type="dxa" w:w="2041"/>
            <w:shd w:val="clear" w:fill="F0FAF9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0F766E"/>
                <w:sz w:val="19"/>
              </w:rPr>
              <w:t>核对方式</w:t>
            </w:r>
          </w:p>
        </w:tc>
        <w:tc>
          <w:tcPr>
            <w:tcW w:type="dxa" w:w="7597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sz w:val="19"/>
              </w:rPr>
              <w:t>逐文件比对本地运行副本与提交 22c7dd3 的远端文件哈希，确认测试的就是交付版本</w:t>
            </w:r>
          </w:p>
        </w:tc>
      </w:tr>
      <w:tr>
        <w:tc>
          <w:tcPr>
            <w:tcW w:type="dxa" w:w="2041"/>
            <w:shd w:val="clear" w:fill="F0FAF9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0F766E"/>
                <w:sz w:val="19"/>
              </w:rPr>
              <w:t>主要依据文件</w:t>
            </w:r>
          </w:p>
        </w:tc>
        <w:tc>
          <w:tcPr>
            <w:tcW w:type="dxa" w:w="7597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sz w:val="19"/>
              </w:rPr>
              <w:t>README.md、《五项功能验收与演示指南.md》、backend/README.md、src/（router、stores、views、api、utils）、backend/src/（controller、service、security、config）、.env.example、start-*.bat</w:t>
            </w:r>
          </w:p>
        </w:tc>
      </w:tr>
      <w:tr>
        <w:tc>
          <w:tcPr>
            <w:tcW w:type="dxa" w:w="2041"/>
            <w:shd w:val="clear" w:fill="F0FAF9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0F766E"/>
                <w:sz w:val="19"/>
              </w:rPr>
              <w:t>判定依据</w:t>
            </w:r>
          </w:p>
        </w:tc>
        <w:tc>
          <w:tcPr>
            <w:tcW w:type="dxa" w:w="7597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sz w:val="19"/>
              </w:rPr>
              <w:t>交付文档《五项功能验收与演示指南》中的五项验收通过与标准；后端接口的真实返回值；页面元素、交互反馈与本地存储状态</w:t>
            </w:r>
          </w:p>
        </w:tc>
      </w:tr>
      <w:tr>
        <w:tc>
          <w:tcPr>
            <w:tcW w:type="dxa" w:w="2041"/>
            <w:shd w:val="clear" w:fill="F0FAF9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0F766E"/>
                <w:sz w:val="19"/>
              </w:rPr>
              <w:t>非功能依据</w:t>
            </w:r>
          </w:p>
        </w:tc>
        <w:tc>
          <w:tcPr>
            <w:tcW w:type="dxa" w:w="7597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sz w:val="19"/>
              </w:rPr>
              <w:t>交付 README 与 backend/README 中关于安全、数据保护、性能边界（SQLite 单连接池、模拟采集）的声明；《五项功能验收与演示指南》中的验证记录；本机实测数据</w:t>
            </w:r>
          </w:p>
        </w:tc>
      </w:tr>
    </w:tbl>
    <w:p>
      <w:pPr>
        <w:pStyle w:val="Heading1"/>
        <w:spacing w:before="280" w:after="120"/>
      </w:pPr>
      <w:r>
        <w:rPr>
          <w:rFonts w:ascii="Microsoft YaHei" w:hAnsi="Microsoft YaHei" w:eastAsia="Microsoft YaHei" w:cs="Microsoft YaHei"/>
          <w:b/>
          <w:color w:val="0F766E"/>
          <w:sz w:val="32"/>
        </w:rPr>
        <w:t>三、测试环境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041"/>
            <w:shd w:val="clear" w:fill="F0FAF9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0F766E"/>
                <w:sz w:val="19"/>
              </w:rPr>
              <w:t>操作系统</w:t>
            </w:r>
          </w:p>
        </w:tc>
        <w:tc>
          <w:tcPr>
            <w:tcW w:type="dxa" w:w="7597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sz w:val="19"/>
              </w:rPr>
              <w:t>Windows 桌面环境（本机演示环境）</w:t>
            </w:r>
          </w:p>
        </w:tc>
      </w:tr>
      <w:tr>
        <w:tc>
          <w:tcPr>
            <w:tcW w:type="dxa" w:w="2041"/>
            <w:shd w:val="clear" w:fill="F0FAF9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0F766E"/>
                <w:sz w:val="19"/>
              </w:rPr>
              <w:t>JDK / 构建</w:t>
            </w:r>
          </w:p>
        </w:tc>
        <w:tc>
          <w:tcPr>
            <w:tcW w:type="dxa" w:w="7597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sz w:val="19"/>
              </w:rPr>
              <w:t>Temurin JDK 21.0.12，后端编译目标 Java 17；Apache Maven 3.9.16</w:t>
            </w:r>
          </w:p>
        </w:tc>
      </w:tr>
      <w:tr>
        <w:tc>
          <w:tcPr>
            <w:tcW w:type="dxa" w:w="2041"/>
            <w:shd w:val="clear" w:fill="F0FAF9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0F766E"/>
                <w:sz w:val="19"/>
              </w:rPr>
              <w:t>Node.js / npm</w:t>
            </w:r>
          </w:p>
        </w:tc>
        <w:tc>
          <w:tcPr>
            <w:tcW w:type="dxa" w:w="7597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sz w:val="19"/>
              </w:rPr>
              <w:t>24.21.0 / 11.19.0（按 package-lock.json 执行 npm ci 安装前端依赖）</w:t>
            </w:r>
          </w:p>
        </w:tc>
      </w:tr>
      <w:tr>
        <w:tc>
          <w:tcPr>
            <w:tcW w:type="dxa" w:w="2041"/>
            <w:shd w:val="clear" w:fill="F0FAF9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0F766E"/>
                <w:sz w:val="19"/>
              </w:rPr>
              <w:t>后端服务</w:t>
            </w:r>
          </w:p>
        </w:tc>
        <w:tc>
          <w:tcPr>
            <w:tcW w:type="dxa" w:w="7597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sz w:val="19"/>
              </w:rPr>
              <w:t>Spring Boot 3.3.5，SQLite（sqlite-jdbc 3.46.1.3），验收实例监听 http://127.0.0.1:8001</w:t>
            </w:r>
          </w:p>
        </w:tc>
      </w:tr>
      <w:tr>
        <w:tc>
          <w:tcPr>
            <w:tcW w:type="dxa" w:w="2041"/>
            <w:shd w:val="clear" w:fill="F0FAF9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0F766E"/>
                <w:sz w:val="19"/>
              </w:rPr>
              <w:t>前端服务</w:t>
            </w:r>
          </w:p>
        </w:tc>
        <w:tc>
          <w:tcPr>
            <w:tcW w:type="dxa" w:w="7597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sz w:val="19"/>
              </w:rPr>
              <w:t>Vite 8.3.0 开发服务器，监听 http://localhost:5174，/api 反向代理到验收后端</w:t>
            </w:r>
          </w:p>
        </w:tc>
      </w:tr>
      <w:tr>
        <w:tc>
          <w:tcPr>
            <w:tcW w:type="dxa" w:w="2041"/>
            <w:shd w:val="clear" w:fill="F0FAF9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0F766E"/>
                <w:sz w:val="19"/>
              </w:rPr>
              <w:t>浏览器与驱动</w:t>
            </w:r>
          </w:p>
        </w:tc>
        <w:tc>
          <w:tcPr>
            <w:tcW w:type="dxa" w:w="7597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sz w:val="19"/>
              </w:rPr>
              <w:t>Microsoft Edge 155（Playwright 驱动，默认视口 1440×900，整页截图）</w:t>
            </w:r>
          </w:p>
        </w:tc>
      </w:tr>
      <w:tr>
        <w:tc>
          <w:tcPr>
            <w:tcW w:type="dxa" w:w="2041"/>
            <w:shd w:val="clear" w:fill="F0FAF9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0F766E"/>
                <w:sz w:val="19"/>
              </w:rPr>
              <w:t>数据库</w:t>
            </w:r>
          </w:p>
        </w:tc>
        <w:tc>
          <w:tcPr>
            <w:tcW w:type="dxa" w:w="7597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sz w:val="19"/>
              </w:rPr>
              <w:t>独立 SQLite 副本，首次启动自动初始化 6 个账号、5 条水价规则、60 台水表、6 条示例异常与 420 条上报数据</w:t>
            </w:r>
          </w:p>
        </w:tc>
      </w:tr>
      <w:tr>
        <w:tc>
          <w:tcPr>
            <w:tcW w:type="dxa" w:w="2041"/>
            <w:shd w:val="clear" w:fill="F0FAF9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0F766E"/>
                <w:sz w:val="19"/>
              </w:rPr>
              <w:t>演示口令</w:t>
            </w:r>
          </w:p>
        </w:tc>
        <w:tc>
          <w:tcPr>
            <w:tcW w:type="dxa" w:w="7597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sz w:val="19"/>
              </w:rPr>
              <w:t>种子账号初始口令均为 admin123（仅本地演示环境使用）</w:t>
            </w:r>
          </w:p>
        </w:tc>
      </w:tr>
    </w:tbl>
    <w:p>
      <w:pPr>
        <w:pStyle w:val="Heading1"/>
        <w:spacing w:before="280" w:after="120"/>
      </w:pPr>
      <w:r>
        <w:rPr>
          <w:rFonts w:ascii="Microsoft YaHei" w:hAnsi="Microsoft YaHei" w:eastAsia="Microsoft YaHei" w:cs="Microsoft YaHei"/>
          <w:b/>
          <w:color w:val="0F766E"/>
          <w:sz w:val="32"/>
        </w:rPr>
        <w:t>四、测试方法与判定标准</w:t>
      </w:r>
    </w:p>
    <w:p>
      <w:pPr>
        <w:spacing w:after="120" w:line="324" w:lineRule="auto"/>
      </w:pPr>
      <w:r>
        <w:rPr>
          <w:rFonts w:ascii="Microsoft YaHei" w:hAnsi="Microsoft YaHei" w:eastAsia="Microsoft YaHei" w:cs="Microsoft YaHei"/>
          <w:sz w:val="21"/>
        </w:rPr>
        <w:t>性能效率：对登录、总览、水表分页、账单明细、AI 问答五类接口先预热 3 次再连续采样 20 次，取 P50/P95/最大值；并发用例每轮 20 个并发请求、共 3 轮。阈值按“本地单机开发环境 + SQLite 单连接池”的现实条件设定（见各用例判定标准），阈值只用于判定是否可用，不作为容量承诺。</w:t>
      </w:r>
    </w:p>
    <w:p>
      <w:pPr>
        <w:spacing w:after="120" w:line="324" w:lineRule="auto"/>
      </w:pPr>
      <w:r>
        <w:rPr>
          <w:rFonts w:ascii="Microsoft YaHei" w:hAnsi="Microsoft YaHei" w:eastAsia="Microsoft YaHei" w:cs="Microsoft YaHei"/>
          <w:sz w:val="21"/>
        </w:rPr>
        <w:t>安全：从接口层验证未认证、伪造令牌、篡改签名、自签 payload 的拦截；用四种角色令牌执行越权矩阵（读取与写入各方向）；检查口令存储形态、响应字段、JWT 结构与算法、响应安全头、跨域预检；并验证篡改浏览器本地存储后不能提权。</w:t>
      </w:r>
    </w:p>
    <w:p>
      <w:pPr>
        <w:spacing w:after="120" w:line="324" w:lineRule="auto"/>
      </w:pPr>
      <w:r>
        <w:rPr>
          <w:rFonts w:ascii="Microsoft YaHei" w:hAnsi="Microsoft YaHei" w:eastAsia="Microsoft YaHei" w:cs="Microsoft YaHei"/>
          <w:sz w:val="21"/>
        </w:rPr>
        <w:t>兼容性：在 1920×1080、1440×900、1366×768 三档桌面分辨率与 390×844 移动端视口下检查布局溢出、关键组件渲染与窄屏导航可用性。</w:t>
      </w:r>
    </w:p>
    <w:p>
      <w:pPr>
        <w:spacing w:after="120" w:line="324" w:lineRule="auto"/>
      </w:pPr>
      <w:r>
        <w:rPr>
          <w:rFonts w:ascii="Microsoft YaHei" w:hAnsi="Microsoft YaHei" w:eastAsia="Microsoft YaHei" w:cs="Microsoft YaHei"/>
          <w:sz w:val="21"/>
        </w:rPr>
        <w:t>可靠性：验证重复支付与重复生成账单的幂等性；停掉后端观察页面降级提示与重试；重启后端后核对既有 JWT 与业务数据是否保留。</w:t>
      </w:r>
    </w:p>
    <w:p>
      <w:pPr>
        <w:spacing w:after="120" w:line="324" w:lineRule="auto"/>
      </w:pPr>
      <w:r>
        <w:rPr>
          <w:rFonts w:ascii="Microsoft YaHei" w:hAnsi="Microsoft YaHei" w:eastAsia="Microsoft YaHei" w:cs="Microsoft YaHei"/>
          <w:sz w:val="21"/>
        </w:rPr>
        <w:t>易用性与无障碍：验证表单校验提示、纯键盘完成登录、图标按钮的 aria-label 覆盖、标题与语言声明、空态文案。</w:t>
      </w:r>
    </w:p>
    <w:p>
      <w:pPr>
        <w:spacing w:after="160" w:line="324" w:lineRule="auto"/>
      </w:pPr>
      <w:r>
        <w:rPr>
          <w:rFonts w:ascii="Microsoft YaHei" w:hAnsi="Microsoft YaHei" w:eastAsia="Microsoft YaHei" w:cs="Microsoft YaHei"/>
          <w:sz w:val="21"/>
        </w:rPr>
        <w:t>判定原则：非功能指标只要满足既定阈值即记为符合预期；发现的问题按“缺陷（需要修复）”与“观察项（需要关注或部署前处理）”区分记录，观察项不影响用例判定。</w:t>
      </w:r>
    </w:p>
    <w:p>
      <w:pPr>
        <w:pStyle w:val="Heading1"/>
        <w:spacing w:before="280" w:after="120"/>
      </w:pPr>
      <w:r>
        <w:rPr>
          <w:rFonts w:ascii="Microsoft YaHei" w:hAnsi="Microsoft YaHei" w:eastAsia="Microsoft YaHei" w:cs="Microsoft YaHei"/>
          <w:b/>
          <w:color w:val="0F766E"/>
          <w:sz w:val="32"/>
        </w:rPr>
        <w:t>五、测试结果汇总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fill="0F766E"/>
          </w:tcPr>
          <w:p>
            <w:pPr>
              <w:spacing w:after="40" w:before="40" w:line="288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执行用例</w:t>
            </w:r>
          </w:p>
        </w:tc>
        <w:tc>
          <w:tcPr>
            <w:tcW w:type="dxa" w:w="1928"/>
            <w:shd w:val="clear" w:fill="0F766E"/>
          </w:tcPr>
          <w:p>
            <w:pPr>
              <w:spacing w:after="40" w:before="40" w:line="288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通过</w:t>
            </w:r>
          </w:p>
        </w:tc>
        <w:tc>
          <w:tcPr>
            <w:tcW w:type="dxa" w:w="1928"/>
            <w:shd w:val="clear" w:fill="0F766E"/>
          </w:tcPr>
          <w:p>
            <w:pPr>
              <w:spacing w:after="40" w:before="40" w:line="288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不符合预期</w:t>
            </w:r>
          </w:p>
        </w:tc>
        <w:tc>
          <w:tcPr>
            <w:tcW w:type="dxa" w:w="1928"/>
            <w:shd w:val="clear" w:fill="0F766E"/>
          </w:tcPr>
          <w:p>
            <w:pPr>
              <w:spacing w:after="40" w:before="40" w:line="288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阻塞</w:t>
            </w:r>
          </w:p>
        </w:tc>
        <w:tc>
          <w:tcPr>
            <w:tcW w:type="dxa" w:w="1928"/>
            <w:shd w:val="clear" w:fill="0F766E"/>
          </w:tcPr>
          <w:p>
            <w:pPr>
              <w:spacing w:after="40" w:before="40" w:line="288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通过率</w:t>
            </w:r>
          </w:p>
        </w:tc>
      </w:tr>
      <w:tr>
        <w:tc>
          <w:tcPr>
            <w:tcW w:type="dxa" w:w="1928"/>
          </w:tcPr>
          <w:p>
            <w:pPr>
              <w:spacing w:after="40" w:before="40" w:line="288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19"/>
              </w:rPr>
              <w:t>21</w:t>
            </w:r>
          </w:p>
        </w:tc>
        <w:tc>
          <w:tcPr>
            <w:tcW w:type="dxa" w:w="1928"/>
          </w:tcPr>
          <w:p>
            <w:pPr>
              <w:spacing w:after="40" w:before="40" w:line="288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1B7A55"/>
                <w:sz w:val="19"/>
              </w:rPr>
              <w:t>20</w:t>
            </w:r>
          </w:p>
        </w:tc>
        <w:tc>
          <w:tcPr>
            <w:tcW w:type="dxa" w:w="1928"/>
          </w:tcPr>
          <w:p>
            <w:pPr>
              <w:spacing w:after="40" w:before="40" w:line="288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C0392B"/>
                <w:sz w:val="19"/>
              </w:rPr>
              <w:t>1</w:t>
            </w:r>
          </w:p>
        </w:tc>
        <w:tc>
          <w:tcPr>
            <w:tcW w:type="dxa" w:w="1928"/>
          </w:tcPr>
          <w:p>
            <w:pPr>
              <w:spacing w:after="40" w:before="40" w:line="288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19"/>
              </w:rPr>
              <w:t>0</w:t>
            </w:r>
          </w:p>
        </w:tc>
        <w:tc>
          <w:tcPr>
            <w:tcW w:type="dxa" w:w="1928"/>
          </w:tcPr>
          <w:p>
            <w:pPr>
              <w:spacing w:after="40" w:before="40" w:line="288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1B7A55"/>
                <w:sz w:val="19"/>
              </w:rPr>
              <w:t>95%</w:t>
            </w:r>
          </w:p>
        </w:tc>
      </w:tr>
    </w:tbl>
    <w:p>
      <w:pPr>
        <w:spacing w:after="40" w:line="324" w:lineRule="auto"/>
      </w:pPr>
      <w:r>
        <w:rPr>
          <w:rFonts w:ascii="Microsoft YaHei" w:hAnsi="Microsoft YaHei" w:eastAsia="Microsoft YaHei" w:cs="Microsoft YaHei"/>
          <w:sz w:val="12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2041"/>
            <w:shd w:val="clear" w:fill="0F766E"/>
          </w:tcPr>
          <w:p>
            <w:pPr>
              <w:spacing w:after="40" w:before="40" w:line="288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测试类别</w:t>
            </w:r>
          </w:p>
        </w:tc>
        <w:tc>
          <w:tcPr>
            <w:tcW w:type="dxa" w:w="1587"/>
            <w:shd w:val="clear" w:fill="0F766E"/>
          </w:tcPr>
          <w:p>
            <w:pPr>
              <w:spacing w:after="40" w:before="40" w:line="288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用例数</w:t>
            </w:r>
          </w:p>
        </w:tc>
        <w:tc>
          <w:tcPr>
            <w:tcW w:type="dxa" w:w="1361"/>
            <w:shd w:val="clear" w:fill="0F766E"/>
          </w:tcPr>
          <w:p>
            <w:pPr>
              <w:spacing w:after="40" w:before="40" w:line="288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通过</w:t>
            </w:r>
          </w:p>
        </w:tc>
        <w:tc>
          <w:tcPr>
            <w:tcW w:type="dxa" w:w="1814"/>
            <w:shd w:val="clear" w:fill="0F766E"/>
          </w:tcPr>
          <w:p>
            <w:pPr>
              <w:spacing w:after="40" w:before="40" w:line="288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不符合预期</w:t>
            </w:r>
          </w:p>
        </w:tc>
        <w:tc>
          <w:tcPr>
            <w:tcW w:type="dxa" w:w="2835"/>
            <w:shd w:val="clear" w:fill="0F766E"/>
          </w:tcPr>
          <w:p>
            <w:pPr>
              <w:spacing w:after="40" w:before="40" w:line="288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判定</w:t>
            </w:r>
          </w:p>
        </w:tc>
      </w:tr>
      <w:tr>
        <w:tc>
          <w:tcPr>
            <w:tcW w:type="dxa" w:w="2041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sz w:val="19"/>
              </w:rPr>
              <w:t>性能效率</w:t>
            </w:r>
          </w:p>
        </w:tc>
        <w:tc>
          <w:tcPr>
            <w:tcW w:type="dxa" w:w="1587"/>
          </w:tcPr>
          <w:p>
            <w:pPr>
              <w:spacing w:after="40" w:before="40" w:line="288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1B7A55"/>
                <w:sz w:val="19"/>
              </w:rPr>
              <w:t>5</w:t>
            </w:r>
          </w:p>
        </w:tc>
        <w:tc>
          <w:tcPr>
            <w:tcW w:type="dxa" w:w="1361"/>
          </w:tcPr>
          <w:p>
            <w:pPr>
              <w:spacing w:after="40" w:before="40" w:line="288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19"/>
              </w:rPr>
              <w:t>5</w:t>
            </w:r>
          </w:p>
        </w:tc>
        <w:tc>
          <w:tcPr>
            <w:tcW w:type="dxa" w:w="1814"/>
          </w:tcPr>
          <w:p>
            <w:pPr>
              <w:spacing w:after="40" w:before="40" w:line="288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19"/>
              </w:rPr>
              <w:t>0</w:t>
            </w:r>
          </w:p>
        </w:tc>
        <w:tc>
          <w:tcPr>
            <w:tcW w:type="dxa" w:w="2835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1B7A55"/>
                <w:sz w:val="19"/>
              </w:rPr>
              <w:t>符合预期</w:t>
            </w:r>
          </w:p>
        </w:tc>
      </w:tr>
      <w:tr>
        <w:tc>
          <w:tcPr>
            <w:tcW w:type="dxa" w:w="2041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sz w:val="19"/>
              </w:rPr>
              <w:t>安全</w:t>
            </w:r>
          </w:p>
        </w:tc>
        <w:tc>
          <w:tcPr>
            <w:tcW w:type="dxa" w:w="1587"/>
          </w:tcPr>
          <w:p>
            <w:pPr>
              <w:spacing w:after="40" w:before="40" w:line="288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1B7A55"/>
                <w:sz w:val="19"/>
              </w:rPr>
              <w:t>7</w:t>
            </w:r>
          </w:p>
        </w:tc>
        <w:tc>
          <w:tcPr>
            <w:tcW w:type="dxa" w:w="1361"/>
          </w:tcPr>
          <w:p>
            <w:pPr>
              <w:spacing w:after="40" w:before="40" w:line="288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19"/>
              </w:rPr>
              <w:t>6</w:t>
            </w:r>
          </w:p>
        </w:tc>
        <w:tc>
          <w:tcPr>
            <w:tcW w:type="dxa" w:w="1814"/>
          </w:tcPr>
          <w:p>
            <w:pPr>
              <w:spacing w:after="40" w:before="40" w:line="288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19"/>
              </w:rPr>
              <w:t>1</w:t>
            </w:r>
          </w:p>
        </w:tc>
        <w:tc>
          <w:tcPr>
            <w:tcW w:type="dxa" w:w="2835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C0392B"/>
                <w:sz w:val="19"/>
              </w:rPr>
              <w:t>存在不符合预期项</w:t>
            </w:r>
          </w:p>
        </w:tc>
      </w:tr>
      <w:tr>
        <w:tc>
          <w:tcPr>
            <w:tcW w:type="dxa" w:w="2041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sz w:val="19"/>
              </w:rPr>
              <w:t>兼容性</w:t>
            </w:r>
          </w:p>
        </w:tc>
        <w:tc>
          <w:tcPr>
            <w:tcW w:type="dxa" w:w="1587"/>
          </w:tcPr>
          <w:p>
            <w:pPr>
              <w:spacing w:after="40" w:before="40" w:line="288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1B7A55"/>
                <w:sz w:val="19"/>
              </w:rPr>
              <w:t>2</w:t>
            </w:r>
          </w:p>
        </w:tc>
        <w:tc>
          <w:tcPr>
            <w:tcW w:type="dxa" w:w="1361"/>
          </w:tcPr>
          <w:p>
            <w:pPr>
              <w:spacing w:after="40" w:before="40" w:line="288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19"/>
              </w:rPr>
              <w:t>2</w:t>
            </w:r>
          </w:p>
        </w:tc>
        <w:tc>
          <w:tcPr>
            <w:tcW w:type="dxa" w:w="1814"/>
          </w:tcPr>
          <w:p>
            <w:pPr>
              <w:spacing w:after="40" w:before="40" w:line="288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19"/>
              </w:rPr>
              <w:t>0</w:t>
            </w:r>
          </w:p>
        </w:tc>
        <w:tc>
          <w:tcPr>
            <w:tcW w:type="dxa" w:w="2835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1B7A55"/>
                <w:sz w:val="19"/>
              </w:rPr>
              <w:t>符合预期</w:t>
            </w:r>
          </w:p>
        </w:tc>
      </w:tr>
      <w:tr>
        <w:tc>
          <w:tcPr>
            <w:tcW w:type="dxa" w:w="2041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sz w:val="19"/>
              </w:rPr>
              <w:t>可靠性</w:t>
            </w:r>
          </w:p>
        </w:tc>
        <w:tc>
          <w:tcPr>
            <w:tcW w:type="dxa" w:w="1587"/>
          </w:tcPr>
          <w:p>
            <w:pPr>
              <w:spacing w:after="40" w:before="40" w:line="288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1B7A55"/>
                <w:sz w:val="19"/>
              </w:rPr>
              <w:t>3</w:t>
            </w:r>
          </w:p>
        </w:tc>
        <w:tc>
          <w:tcPr>
            <w:tcW w:type="dxa" w:w="1361"/>
          </w:tcPr>
          <w:p>
            <w:pPr>
              <w:spacing w:after="40" w:before="40" w:line="288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19"/>
              </w:rPr>
              <w:t>3</w:t>
            </w:r>
          </w:p>
        </w:tc>
        <w:tc>
          <w:tcPr>
            <w:tcW w:type="dxa" w:w="1814"/>
          </w:tcPr>
          <w:p>
            <w:pPr>
              <w:spacing w:after="40" w:before="40" w:line="288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19"/>
              </w:rPr>
              <w:t>0</w:t>
            </w:r>
          </w:p>
        </w:tc>
        <w:tc>
          <w:tcPr>
            <w:tcW w:type="dxa" w:w="2835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1B7A55"/>
                <w:sz w:val="19"/>
              </w:rPr>
              <w:t>符合预期</w:t>
            </w:r>
          </w:p>
        </w:tc>
      </w:tr>
      <w:tr>
        <w:tc>
          <w:tcPr>
            <w:tcW w:type="dxa" w:w="2041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sz w:val="19"/>
              </w:rPr>
              <w:t>易用性</w:t>
            </w:r>
          </w:p>
        </w:tc>
        <w:tc>
          <w:tcPr>
            <w:tcW w:type="dxa" w:w="1587"/>
          </w:tcPr>
          <w:p>
            <w:pPr>
              <w:spacing w:after="40" w:before="40" w:line="288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1B7A55"/>
                <w:sz w:val="19"/>
              </w:rPr>
              <w:t>3</w:t>
            </w:r>
          </w:p>
        </w:tc>
        <w:tc>
          <w:tcPr>
            <w:tcW w:type="dxa" w:w="1361"/>
          </w:tcPr>
          <w:p>
            <w:pPr>
              <w:spacing w:after="40" w:before="40" w:line="288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19"/>
              </w:rPr>
              <w:t>3</w:t>
            </w:r>
          </w:p>
        </w:tc>
        <w:tc>
          <w:tcPr>
            <w:tcW w:type="dxa" w:w="1814"/>
          </w:tcPr>
          <w:p>
            <w:pPr>
              <w:spacing w:after="40" w:before="40" w:line="288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19"/>
              </w:rPr>
              <w:t>0</w:t>
            </w:r>
          </w:p>
        </w:tc>
        <w:tc>
          <w:tcPr>
            <w:tcW w:type="dxa" w:w="2835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1B7A55"/>
                <w:sz w:val="19"/>
              </w:rPr>
              <w:t>符合预期</w:t>
            </w:r>
          </w:p>
        </w:tc>
      </w:tr>
      <w:tr>
        <w:tc>
          <w:tcPr>
            <w:tcW w:type="dxa" w:w="2041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sz w:val="19"/>
              </w:rPr>
              <w:t>无障碍</w:t>
            </w:r>
          </w:p>
        </w:tc>
        <w:tc>
          <w:tcPr>
            <w:tcW w:type="dxa" w:w="1587"/>
          </w:tcPr>
          <w:p>
            <w:pPr>
              <w:spacing w:after="40" w:before="40" w:line="288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1B7A55"/>
                <w:sz w:val="19"/>
              </w:rPr>
              <w:t>1</w:t>
            </w:r>
          </w:p>
        </w:tc>
        <w:tc>
          <w:tcPr>
            <w:tcW w:type="dxa" w:w="1361"/>
          </w:tcPr>
          <w:p>
            <w:pPr>
              <w:spacing w:after="40" w:before="40" w:line="288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19"/>
              </w:rPr>
              <w:t>1</w:t>
            </w:r>
          </w:p>
        </w:tc>
        <w:tc>
          <w:tcPr>
            <w:tcW w:type="dxa" w:w="1814"/>
          </w:tcPr>
          <w:p>
            <w:pPr>
              <w:spacing w:after="40" w:before="40" w:line="288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19"/>
              </w:rPr>
              <w:t>0</w:t>
            </w:r>
          </w:p>
        </w:tc>
        <w:tc>
          <w:tcPr>
            <w:tcW w:type="dxa" w:w="2835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1B7A55"/>
                <w:sz w:val="19"/>
              </w:rPr>
              <w:t>符合预期</w:t>
            </w:r>
          </w:p>
        </w:tc>
      </w:tr>
    </w:tbl>
    <w:p>
      <w:pPr>
        <w:spacing w:after="160" w:line="324" w:lineRule="auto"/>
      </w:pPr>
      <w:r>
        <w:rPr>
          <w:rFonts w:ascii="Microsoft YaHei" w:hAnsi="Microsoft YaHei" w:eastAsia="Microsoft YaHei" w:cs="Microsoft YaHei"/>
          <w:color w:val="4B5563"/>
          <w:sz w:val="19"/>
        </w:rPr>
        <w:t>用例清单如下，逐项判定标准、实际结果与证据截图见第六节。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020"/>
            <w:shd w:val="clear" w:fill="0F766E"/>
          </w:tcPr>
          <w:p>
            <w:pPr>
              <w:spacing w:after="40" w:before="40" w:line="288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编号</w:t>
            </w:r>
          </w:p>
        </w:tc>
        <w:tc>
          <w:tcPr>
            <w:tcW w:type="dxa" w:w="1247"/>
            <w:shd w:val="clear" w:fill="0F766E"/>
          </w:tcPr>
          <w:p>
            <w:pPr>
              <w:spacing w:after="40" w:before="40" w:line="288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类别</w:t>
            </w:r>
          </w:p>
        </w:tc>
        <w:tc>
          <w:tcPr>
            <w:tcW w:type="dxa" w:w="4309"/>
            <w:shd w:val="clear" w:fill="0F766E"/>
          </w:tcPr>
          <w:p>
            <w:pPr>
              <w:spacing w:after="40" w:before="40" w:line="288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用例名称</w:t>
            </w:r>
          </w:p>
        </w:tc>
        <w:tc>
          <w:tcPr>
            <w:tcW w:type="dxa" w:w="907"/>
            <w:shd w:val="clear" w:fill="0F766E"/>
          </w:tcPr>
          <w:p>
            <w:pPr>
              <w:spacing w:after="40" w:before="40" w:line="288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优先级</w:t>
            </w:r>
          </w:p>
        </w:tc>
        <w:tc>
          <w:tcPr>
            <w:tcW w:type="dxa" w:w="2154"/>
            <w:shd w:val="clear" w:fill="0F766E"/>
          </w:tcPr>
          <w:p>
            <w:pPr>
              <w:spacing w:after="40" w:before="40" w:line="288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判定</w:t>
            </w:r>
          </w:p>
        </w:tc>
      </w:tr>
      <w:tr>
        <w:tc>
          <w:tcPr>
            <w:tcW w:type="dxa" w:w="1020"/>
          </w:tcPr>
          <w:p>
            <w:pPr>
              <w:spacing w:after="40" w:before="40" w:line="288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19"/>
              </w:rPr>
              <w:t>NFT-01</w:t>
            </w:r>
          </w:p>
        </w:tc>
        <w:tc>
          <w:tcPr>
            <w:tcW w:type="dxa" w:w="1247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sz w:val="19"/>
              </w:rPr>
              <w:t>性能效率</w:t>
            </w:r>
          </w:p>
        </w:tc>
        <w:tc>
          <w:tcPr>
            <w:tcW w:type="dxa" w:w="4309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sz w:val="19"/>
              </w:rPr>
              <w:t>关键业务接口响应时间</w:t>
            </w:r>
          </w:p>
        </w:tc>
        <w:tc>
          <w:tcPr>
            <w:tcW w:type="dxa" w:w="907"/>
          </w:tcPr>
          <w:p>
            <w:pPr>
              <w:spacing w:after="40" w:before="40" w:line="288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19"/>
              </w:rPr>
              <w:t>P1</w:t>
            </w:r>
          </w:p>
        </w:tc>
        <w:tc>
          <w:tcPr>
            <w:tcW w:type="dxa" w:w="2154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1B7A55"/>
                <w:sz w:val="19"/>
              </w:rPr>
              <w:t>符合预期</w:t>
            </w:r>
          </w:p>
        </w:tc>
      </w:tr>
      <w:tr>
        <w:tc>
          <w:tcPr>
            <w:tcW w:type="dxa" w:w="1020"/>
          </w:tcPr>
          <w:p>
            <w:pPr>
              <w:spacing w:after="40" w:before="40" w:line="288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19"/>
              </w:rPr>
              <w:t>NFT-02</w:t>
            </w:r>
          </w:p>
        </w:tc>
        <w:tc>
          <w:tcPr>
            <w:tcW w:type="dxa" w:w="1247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sz w:val="19"/>
              </w:rPr>
              <w:t>性能效率</w:t>
            </w:r>
          </w:p>
        </w:tc>
        <w:tc>
          <w:tcPr>
            <w:tcW w:type="dxa" w:w="4309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sz w:val="19"/>
              </w:rPr>
              <w:t>前端首屏与模块切换耗时</w:t>
            </w:r>
          </w:p>
        </w:tc>
        <w:tc>
          <w:tcPr>
            <w:tcW w:type="dxa" w:w="907"/>
          </w:tcPr>
          <w:p>
            <w:pPr>
              <w:spacing w:after="40" w:before="40" w:line="288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19"/>
              </w:rPr>
              <w:t>P1</w:t>
            </w:r>
          </w:p>
        </w:tc>
        <w:tc>
          <w:tcPr>
            <w:tcW w:type="dxa" w:w="2154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1B7A55"/>
                <w:sz w:val="19"/>
              </w:rPr>
              <w:t>符合预期</w:t>
            </w:r>
          </w:p>
        </w:tc>
      </w:tr>
      <w:tr>
        <w:tc>
          <w:tcPr>
            <w:tcW w:type="dxa" w:w="1020"/>
          </w:tcPr>
          <w:p>
            <w:pPr>
              <w:spacing w:after="40" w:before="40" w:line="288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19"/>
              </w:rPr>
              <w:t>NFT-03</w:t>
            </w:r>
          </w:p>
        </w:tc>
        <w:tc>
          <w:tcPr>
            <w:tcW w:type="dxa" w:w="1247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sz w:val="19"/>
              </w:rPr>
              <w:t>性能效率</w:t>
            </w:r>
          </w:p>
        </w:tc>
        <w:tc>
          <w:tcPr>
            <w:tcW w:type="dxa" w:w="4309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sz w:val="19"/>
              </w:rPr>
              <w:t>并发请求处理能力</w:t>
            </w:r>
          </w:p>
        </w:tc>
        <w:tc>
          <w:tcPr>
            <w:tcW w:type="dxa" w:w="907"/>
          </w:tcPr>
          <w:p>
            <w:pPr>
              <w:spacing w:after="40" w:before="40" w:line="288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19"/>
              </w:rPr>
              <w:t>P2</w:t>
            </w:r>
          </w:p>
        </w:tc>
        <w:tc>
          <w:tcPr>
            <w:tcW w:type="dxa" w:w="2154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1B7A55"/>
                <w:sz w:val="19"/>
              </w:rPr>
              <w:t>符合预期</w:t>
            </w:r>
          </w:p>
        </w:tc>
      </w:tr>
      <w:tr>
        <w:tc>
          <w:tcPr>
            <w:tcW w:type="dxa" w:w="1020"/>
          </w:tcPr>
          <w:p>
            <w:pPr>
              <w:spacing w:after="40" w:before="40" w:line="288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19"/>
              </w:rPr>
              <w:t>NFT-04</w:t>
            </w:r>
          </w:p>
        </w:tc>
        <w:tc>
          <w:tcPr>
            <w:tcW w:type="dxa" w:w="1247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sz w:val="19"/>
              </w:rPr>
              <w:t>性能效率</w:t>
            </w:r>
          </w:p>
        </w:tc>
        <w:tc>
          <w:tcPr>
            <w:tcW w:type="dxa" w:w="4309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sz w:val="19"/>
              </w:rPr>
              <w:t>大数据量表格渲染性能</w:t>
            </w:r>
          </w:p>
        </w:tc>
        <w:tc>
          <w:tcPr>
            <w:tcW w:type="dxa" w:w="907"/>
          </w:tcPr>
          <w:p>
            <w:pPr>
              <w:spacing w:after="40" w:before="40" w:line="288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19"/>
              </w:rPr>
              <w:t>P2</w:t>
            </w:r>
          </w:p>
        </w:tc>
        <w:tc>
          <w:tcPr>
            <w:tcW w:type="dxa" w:w="2154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1B7A55"/>
                <w:sz w:val="19"/>
              </w:rPr>
              <w:t>符合预期</w:t>
            </w:r>
          </w:p>
        </w:tc>
      </w:tr>
      <w:tr>
        <w:tc>
          <w:tcPr>
            <w:tcW w:type="dxa" w:w="1020"/>
          </w:tcPr>
          <w:p>
            <w:pPr>
              <w:spacing w:after="40" w:before="40" w:line="288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19"/>
              </w:rPr>
              <w:t>NFT-05</w:t>
            </w:r>
          </w:p>
        </w:tc>
        <w:tc>
          <w:tcPr>
            <w:tcW w:type="dxa" w:w="1247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sz w:val="19"/>
              </w:rPr>
              <w:t>性能效率</w:t>
            </w:r>
          </w:p>
        </w:tc>
        <w:tc>
          <w:tcPr>
            <w:tcW w:type="dxa" w:w="4309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sz w:val="19"/>
              </w:rPr>
              <w:t>前端生产构建与产物体积</w:t>
            </w:r>
          </w:p>
        </w:tc>
        <w:tc>
          <w:tcPr>
            <w:tcW w:type="dxa" w:w="907"/>
          </w:tcPr>
          <w:p>
            <w:pPr>
              <w:spacing w:after="40" w:before="40" w:line="288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19"/>
              </w:rPr>
              <w:t>P2</w:t>
            </w:r>
          </w:p>
        </w:tc>
        <w:tc>
          <w:tcPr>
            <w:tcW w:type="dxa" w:w="2154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1B7A55"/>
                <w:sz w:val="19"/>
              </w:rPr>
              <w:t>符合预期</w:t>
            </w:r>
          </w:p>
        </w:tc>
      </w:tr>
      <w:tr>
        <w:tc>
          <w:tcPr>
            <w:tcW w:type="dxa" w:w="1020"/>
          </w:tcPr>
          <w:p>
            <w:pPr>
              <w:spacing w:after="40" w:before="40" w:line="288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19"/>
              </w:rPr>
              <w:t>NFT-06</w:t>
            </w:r>
          </w:p>
        </w:tc>
        <w:tc>
          <w:tcPr>
            <w:tcW w:type="dxa" w:w="1247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sz w:val="19"/>
              </w:rPr>
              <w:t>安全</w:t>
            </w:r>
          </w:p>
        </w:tc>
        <w:tc>
          <w:tcPr>
            <w:tcW w:type="dxa" w:w="4309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sz w:val="19"/>
              </w:rPr>
              <w:t>未认证与无效令牌访问拦截</w:t>
            </w:r>
          </w:p>
        </w:tc>
        <w:tc>
          <w:tcPr>
            <w:tcW w:type="dxa" w:w="907"/>
          </w:tcPr>
          <w:p>
            <w:pPr>
              <w:spacing w:after="40" w:before="40" w:line="288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19"/>
              </w:rPr>
              <w:t>P0</w:t>
            </w:r>
          </w:p>
        </w:tc>
        <w:tc>
          <w:tcPr>
            <w:tcW w:type="dxa" w:w="2154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1B7A55"/>
                <w:sz w:val="19"/>
              </w:rPr>
              <w:t>符合预期</w:t>
            </w:r>
          </w:p>
        </w:tc>
      </w:tr>
      <w:tr>
        <w:tc>
          <w:tcPr>
            <w:tcW w:type="dxa" w:w="1020"/>
          </w:tcPr>
          <w:p>
            <w:pPr>
              <w:spacing w:after="40" w:before="40" w:line="288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19"/>
              </w:rPr>
              <w:t>NFT-07</w:t>
            </w:r>
          </w:p>
        </w:tc>
        <w:tc>
          <w:tcPr>
            <w:tcW w:type="dxa" w:w="1247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sz w:val="19"/>
              </w:rPr>
              <w:t>安全</w:t>
            </w:r>
          </w:p>
        </w:tc>
        <w:tc>
          <w:tcPr>
            <w:tcW w:type="dxa" w:w="4309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sz w:val="19"/>
              </w:rPr>
              <w:t>角色越权与数据范围隔离</w:t>
            </w:r>
          </w:p>
        </w:tc>
        <w:tc>
          <w:tcPr>
            <w:tcW w:type="dxa" w:w="907"/>
          </w:tcPr>
          <w:p>
            <w:pPr>
              <w:spacing w:after="40" w:before="40" w:line="288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19"/>
              </w:rPr>
              <w:t>P0</w:t>
            </w:r>
          </w:p>
        </w:tc>
        <w:tc>
          <w:tcPr>
            <w:tcW w:type="dxa" w:w="2154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1B7A55"/>
                <w:sz w:val="19"/>
              </w:rPr>
              <w:t>符合预期</w:t>
            </w:r>
          </w:p>
        </w:tc>
      </w:tr>
      <w:tr>
        <w:tc>
          <w:tcPr>
            <w:tcW w:type="dxa" w:w="1020"/>
          </w:tcPr>
          <w:p>
            <w:pPr>
              <w:spacing w:after="40" w:before="40" w:line="288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19"/>
              </w:rPr>
              <w:t>NFT-08</w:t>
            </w:r>
          </w:p>
        </w:tc>
        <w:tc>
          <w:tcPr>
            <w:tcW w:type="dxa" w:w="1247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sz w:val="19"/>
              </w:rPr>
              <w:t>安全</w:t>
            </w:r>
          </w:p>
        </w:tc>
        <w:tc>
          <w:tcPr>
            <w:tcW w:type="dxa" w:w="4309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sz w:val="19"/>
              </w:rPr>
              <w:t>口令存储与会话资料保护</w:t>
            </w:r>
          </w:p>
        </w:tc>
        <w:tc>
          <w:tcPr>
            <w:tcW w:type="dxa" w:w="907"/>
          </w:tcPr>
          <w:p>
            <w:pPr>
              <w:spacing w:after="40" w:before="40" w:line="288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19"/>
              </w:rPr>
              <w:t>P0</w:t>
            </w:r>
          </w:p>
        </w:tc>
        <w:tc>
          <w:tcPr>
            <w:tcW w:type="dxa" w:w="2154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1B7A55"/>
                <w:sz w:val="19"/>
              </w:rPr>
              <w:t>符合预期</w:t>
            </w:r>
          </w:p>
        </w:tc>
      </w:tr>
      <w:tr>
        <w:tc>
          <w:tcPr>
            <w:tcW w:type="dxa" w:w="1020"/>
          </w:tcPr>
          <w:p>
            <w:pPr>
              <w:spacing w:after="40" w:before="40" w:line="288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19"/>
              </w:rPr>
              <w:t>NFT-09</w:t>
            </w:r>
          </w:p>
        </w:tc>
        <w:tc>
          <w:tcPr>
            <w:tcW w:type="dxa" w:w="1247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sz w:val="19"/>
              </w:rPr>
              <w:t>安全</w:t>
            </w:r>
          </w:p>
        </w:tc>
        <w:tc>
          <w:tcPr>
            <w:tcW w:type="dxa" w:w="4309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sz w:val="19"/>
              </w:rPr>
              <w:t>输入校验与注入防护</w:t>
            </w:r>
          </w:p>
        </w:tc>
        <w:tc>
          <w:tcPr>
            <w:tcW w:type="dxa" w:w="907"/>
          </w:tcPr>
          <w:p>
            <w:pPr>
              <w:spacing w:after="40" w:before="40" w:line="288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19"/>
              </w:rPr>
              <w:t>P1</w:t>
            </w:r>
          </w:p>
        </w:tc>
        <w:tc>
          <w:tcPr>
            <w:tcW w:type="dxa" w:w="2154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C0392B"/>
                <w:sz w:val="19"/>
              </w:rPr>
              <w:t>不符合预期</w:t>
            </w:r>
          </w:p>
        </w:tc>
      </w:tr>
      <w:tr>
        <w:tc>
          <w:tcPr>
            <w:tcW w:type="dxa" w:w="1020"/>
          </w:tcPr>
          <w:p>
            <w:pPr>
              <w:spacing w:after="40" w:before="40" w:line="288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19"/>
              </w:rPr>
              <w:t>NFT-10</w:t>
            </w:r>
          </w:p>
        </w:tc>
        <w:tc>
          <w:tcPr>
            <w:tcW w:type="dxa" w:w="1247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sz w:val="19"/>
              </w:rPr>
              <w:t>安全</w:t>
            </w:r>
          </w:p>
        </w:tc>
        <w:tc>
          <w:tcPr>
            <w:tcW w:type="dxa" w:w="4309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sz w:val="19"/>
              </w:rPr>
              <w:t>响应安全头与请求追踪</w:t>
            </w:r>
          </w:p>
        </w:tc>
        <w:tc>
          <w:tcPr>
            <w:tcW w:type="dxa" w:w="907"/>
          </w:tcPr>
          <w:p>
            <w:pPr>
              <w:spacing w:after="40" w:before="40" w:line="288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19"/>
              </w:rPr>
              <w:t>P2</w:t>
            </w:r>
          </w:p>
        </w:tc>
        <w:tc>
          <w:tcPr>
            <w:tcW w:type="dxa" w:w="2154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1B7A55"/>
                <w:sz w:val="19"/>
              </w:rPr>
              <w:t>符合预期</w:t>
            </w:r>
          </w:p>
        </w:tc>
      </w:tr>
      <w:tr>
        <w:tc>
          <w:tcPr>
            <w:tcW w:type="dxa" w:w="1020"/>
          </w:tcPr>
          <w:p>
            <w:pPr>
              <w:spacing w:after="40" w:before="40" w:line="288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19"/>
              </w:rPr>
              <w:t>NFT-11</w:t>
            </w:r>
          </w:p>
        </w:tc>
        <w:tc>
          <w:tcPr>
            <w:tcW w:type="dxa" w:w="1247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sz w:val="19"/>
              </w:rPr>
              <w:t>安全</w:t>
            </w:r>
          </w:p>
        </w:tc>
        <w:tc>
          <w:tcPr>
            <w:tcW w:type="dxa" w:w="4309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sz w:val="19"/>
              </w:rPr>
              <w:t>前端本地存储被篡改不能提权</w:t>
            </w:r>
          </w:p>
        </w:tc>
        <w:tc>
          <w:tcPr>
            <w:tcW w:type="dxa" w:w="907"/>
          </w:tcPr>
          <w:p>
            <w:pPr>
              <w:spacing w:after="40" w:before="40" w:line="288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19"/>
              </w:rPr>
              <w:t>P0</w:t>
            </w:r>
          </w:p>
        </w:tc>
        <w:tc>
          <w:tcPr>
            <w:tcW w:type="dxa" w:w="2154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1B7A55"/>
                <w:sz w:val="19"/>
              </w:rPr>
              <w:t>符合预期</w:t>
            </w:r>
          </w:p>
        </w:tc>
      </w:tr>
      <w:tr>
        <w:tc>
          <w:tcPr>
            <w:tcW w:type="dxa" w:w="1020"/>
          </w:tcPr>
          <w:p>
            <w:pPr>
              <w:spacing w:after="40" w:before="40" w:line="288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19"/>
              </w:rPr>
              <w:t>NFT-12</w:t>
            </w:r>
          </w:p>
        </w:tc>
        <w:tc>
          <w:tcPr>
            <w:tcW w:type="dxa" w:w="1247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sz w:val="19"/>
              </w:rPr>
              <w:t>安全</w:t>
            </w:r>
          </w:p>
        </w:tc>
        <w:tc>
          <w:tcPr>
            <w:tcW w:type="dxa" w:w="4309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sz w:val="19"/>
              </w:rPr>
              <w:t>跨域（CORS）配置检查</w:t>
            </w:r>
          </w:p>
        </w:tc>
        <w:tc>
          <w:tcPr>
            <w:tcW w:type="dxa" w:w="907"/>
          </w:tcPr>
          <w:p>
            <w:pPr>
              <w:spacing w:after="40" w:before="40" w:line="288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19"/>
              </w:rPr>
              <w:t>P2</w:t>
            </w:r>
          </w:p>
        </w:tc>
        <w:tc>
          <w:tcPr>
            <w:tcW w:type="dxa" w:w="2154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8A6D1D"/>
                <w:sz w:val="19"/>
              </w:rPr>
              <w:t>观察项</w:t>
            </w:r>
          </w:p>
        </w:tc>
      </w:tr>
      <w:tr>
        <w:tc>
          <w:tcPr>
            <w:tcW w:type="dxa" w:w="1020"/>
          </w:tcPr>
          <w:p>
            <w:pPr>
              <w:spacing w:after="40" w:before="40" w:line="288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19"/>
              </w:rPr>
              <w:t>NFT-13</w:t>
            </w:r>
          </w:p>
        </w:tc>
        <w:tc>
          <w:tcPr>
            <w:tcW w:type="dxa" w:w="1247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sz w:val="19"/>
              </w:rPr>
              <w:t>兼容性</w:t>
            </w:r>
          </w:p>
        </w:tc>
        <w:tc>
          <w:tcPr>
            <w:tcW w:type="dxa" w:w="4309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sz w:val="19"/>
              </w:rPr>
              <w:t>桌面多分辨率布局适配</w:t>
            </w:r>
          </w:p>
        </w:tc>
        <w:tc>
          <w:tcPr>
            <w:tcW w:type="dxa" w:w="907"/>
          </w:tcPr>
          <w:p>
            <w:pPr>
              <w:spacing w:after="40" w:before="40" w:line="288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19"/>
              </w:rPr>
              <w:t>P1</w:t>
            </w:r>
          </w:p>
        </w:tc>
        <w:tc>
          <w:tcPr>
            <w:tcW w:type="dxa" w:w="2154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1B7A55"/>
                <w:sz w:val="19"/>
              </w:rPr>
              <w:t>符合预期</w:t>
            </w:r>
          </w:p>
        </w:tc>
      </w:tr>
      <w:tr>
        <w:tc>
          <w:tcPr>
            <w:tcW w:type="dxa" w:w="1020"/>
          </w:tcPr>
          <w:p>
            <w:pPr>
              <w:spacing w:after="40" w:before="40" w:line="288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19"/>
              </w:rPr>
              <w:t>NFT-14</w:t>
            </w:r>
          </w:p>
        </w:tc>
        <w:tc>
          <w:tcPr>
            <w:tcW w:type="dxa" w:w="1247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sz w:val="19"/>
              </w:rPr>
              <w:t>兼容性</w:t>
            </w:r>
          </w:p>
        </w:tc>
        <w:tc>
          <w:tcPr>
            <w:tcW w:type="dxa" w:w="4309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sz w:val="19"/>
              </w:rPr>
              <w:t>移动端窄屏适配与抽屉导航</w:t>
            </w:r>
          </w:p>
        </w:tc>
        <w:tc>
          <w:tcPr>
            <w:tcW w:type="dxa" w:w="907"/>
          </w:tcPr>
          <w:p>
            <w:pPr>
              <w:spacing w:after="40" w:before="40" w:line="288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19"/>
              </w:rPr>
              <w:t>P1</w:t>
            </w:r>
          </w:p>
        </w:tc>
        <w:tc>
          <w:tcPr>
            <w:tcW w:type="dxa" w:w="2154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1B7A55"/>
                <w:sz w:val="19"/>
              </w:rPr>
              <w:t>符合预期</w:t>
            </w:r>
          </w:p>
        </w:tc>
      </w:tr>
      <w:tr>
        <w:tc>
          <w:tcPr>
            <w:tcW w:type="dxa" w:w="1020"/>
          </w:tcPr>
          <w:p>
            <w:pPr>
              <w:spacing w:after="40" w:before="40" w:line="288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19"/>
              </w:rPr>
              <w:t>NFT-15</w:t>
            </w:r>
          </w:p>
        </w:tc>
        <w:tc>
          <w:tcPr>
            <w:tcW w:type="dxa" w:w="1247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sz w:val="19"/>
              </w:rPr>
              <w:t>可靠性</w:t>
            </w:r>
          </w:p>
        </w:tc>
        <w:tc>
          <w:tcPr>
            <w:tcW w:type="dxa" w:w="4309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sz w:val="19"/>
              </w:rPr>
              <w:t>关键写操作幂等性（缴费与账单生成）</w:t>
            </w:r>
          </w:p>
        </w:tc>
        <w:tc>
          <w:tcPr>
            <w:tcW w:type="dxa" w:w="907"/>
          </w:tcPr>
          <w:p>
            <w:pPr>
              <w:spacing w:after="40" w:before="40" w:line="288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19"/>
              </w:rPr>
              <w:t>P0</w:t>
            </w:r>
          </w:p>
        </w:tc>
        <w:tc>
          <w:tcPr>
            <w:tcW w:type="dxa" w:w="2154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1B7A55"/>
                <w:sz w:val="19"/>
              </w:rPr>
              <w:t>符合预期</w:t>
            </w:r>
          </w:p>
        </w:tc>
      </w:tr>
      <w:tr>
        <w:tc>
          <w:tcPr>
            <w:tcW w:type="dxa" w:w="1020"/>
          </w:tcPr>
          <w:p>
            <w:pPr>
              <w:spacing w:after="40" w:before="40" w:line="288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19"/>
              </w:rPr>
              <w:t>NFT-16</w:t>
            </w:r>
          </w:p>
        </w:tc>
        <w:tc>
          <w:tcPr>
            <w:tcW w:type="dxa" w:w="1247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sz w:val="19"/>
              </w:rPr>
              <w:t>可靠性</w:t>
            </w:r>
          </w:p>
        </w:tc>
        <w:tc>
          <w:tcPr>
            <w:tcW w:type="dxa" w:w="4309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sz w:val="19"/>
              </w:rPr>
              <w:t>后端不可用时的降级提示与恢复</w:t>
            </w:r>
          </w:p>
        </w:tc>
        <w:tc>
          <w:tcPr>
            <w:tcW w:type="dxa" w:w="907"/>
          </w:tcPr>
          <w:p>
            <w:pPr>
              <w:spacing w:after="40" w:before="40" w:line="288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19"/>
              </w:rPr>
              <w:t>P1</w:t>
            </w:r>
          </w:p>
        </w:tc>
        <w:tc>
          <w:tcPr>
            <w:tcW w:type="dxa" w:w="2154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1B7A55"/>
                <w:sz w:val="19"/>
              </w:rPr>
              <w:t>符合预期</w:t>
            </w:r>
          </w:p>
        </w:tc>
      </w:tr>
      <w:tr>
        <w:tc>
          <w:tcPr>
            <w:tcW w:type="dxa" w:w="1020"/>
          </w:tcPr>
          <w:p>
            <w:pPr>
              <w:spacing w:after="40" w:before="40" w:line="288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19"/>
              </w:rPr>
              <w:t>NFT-17</w:t>
            </w:r>
          </w:p>
        </w:tc>
        <w:tc>
          <w:tcPr>
            <w:tcW w:type="dxa" w:w="1247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sz w:val="19"/>
              </w:rPr>
              <w:t>可靠性</w:t>
            </w:r>
          </w:p>
        </w:tc>
        <w:tc>
          <w:tcPr>
            <w:tcW w:type="dxa" w:w="4309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sz w:val="19"/>
              </w:rPr>
              <w:t>后端重启后数据与会话保留</w:t>
            </w:r>
          </w:p>
        </w:tc>
        <w:tc>
          <w:tcPr>
            <w:tcW w:type="dxa" w:w="907"/>
          </w:tcPr>
          <w:p>
            <w:pPr>
              <w:spacing w:after="40" w:before="40" w:line="288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19"/>
              </w:rPr>
              <w:t>P0</w:t>
            </w:r>
          </w:p>
        </w:tc>
        <w:tc>
          <w:tcPr>
            <w:tcW w:type="dxa" w:w="2154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1B7A55"/>
                <w:sz w:val="19"/>
              </w:rPr>
              <w:t>符合预期</w:t>
            </w:r>
          </w:p>
        </w:tc>
      </w:tr>
      <w:tr>
        <w:tc>
          <w:tcPr>
            <w:tcW w:type="dxa" w:w="1020"/>
          </w:tcPr>
          <w:p>
            <w:pPr>
              <w:spacing w:after="40" w:before="40" w:line="288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19"/>
              </w:rPr>
              <w:t>NFT-18</w:t>
            </w:r>
          </w:p>
        </w:tc>
        <w:tc>
          <w:tcPr>
            <w:tcW w:type="dxa" w:w="1247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sz w:val="19"/>
              </w:rPr>
              <w:t>易用性</w:t>
            </w:r>
          </w:p>
        </w:tc>
        <w:tc>
          <w:tcPr>
            <w:tcW w:type="dxa" w:w="4309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sz w:val="19"/>
              </w:rPr>
              <w:t>表单校验提示清晰可读</w:t>
            </w:r>
          </w:p>
        </w:tc>
        <w:tc>
          <w:tcPr>
            <w:tcW w:type="dxa" w:w="907"/>
          </w:tcPr>
          <w:p>
            <w:pPr>
              <w:spacing w:after="40" w:before="40" w:line="288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19"/>
              </w:rPr>
              <w:t>P1</w:t>
            </w:r>
          </w:p>
        </w:tc>
        <w:tc>
          <w:tcPr>
            <w:tcW w:type="dxa" w:w="2154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1B7A55"/>
                <w:sz w:val="19"/>
              </w:rPr>
              <w:t>符合预期</w:t>
            </w:r>
          </w:p>
        </w:tc>
      </w:tr>
      <w:tr>
        <w:tc>
          <w:tcPr>
            <w:tcW w:type="dxa" w:w="1020"/>
          </w:tcPr>
          <w:p>
            <w:pPr>
              <w:spacing w:after="40" w:before="40" w:line="288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19"/>
              </w:rPr>
              <w:t>NFT-19</w:t>
            </w:r>
          </w:p>
        </w:tc>
        <w:tc>
          <w:tcPr>
            <w:tcW w:type="dxa" w:w="1247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sz w:val="19"/>
              </w:rPr>
              <w:t>易用性</w:t>
            </w:r>
          </w:p>
        </w:tc>
        <w:tc>
          <w:tcPr>
            <w:tcW w:type="dxa" w:w="4309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sz w:val="19"/>
              </w:rPr>
              <w:t>键盘操作与回车提交可用</w:t>
            </w:r>
          </w:p>
        </w:tc>
        <w:tc>
          <w:tcPr>
            <w:tcW w:type="dxa" w:w="907"/>
          </w:tcPr>
          <w:p>
            <w:pPr>
              <w:spacing w:after="40" w:before="40" w:line="288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19"/>
              </w:rPr>
              <w:t>P2</w:t>
            </w:r>
          </w:p>
        </w:tc>
        <w:tc>
          <w:tcPr>
            <w:tcW w:type="dxa" w:w="2154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1B7A55"/>
                <w:sz w:val="19"/>
              </w:rPr>
              <w:t>符合预期</w:t>
            </w:r>
          </w:p>
        </w:tc>
      </w:tr>
      <w:tr>
        <w:tc>
          <w:tcPr>
            <w:tcW w:type="dxa" w:w="1020"/>
          </w:tcPr>
          <w:p>
            <w:pPr>
              <w:spacing w:after="40" w:before="40" w:line="288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19"/>
              </w:rPr>
              <w:t>NFT-20</w:t>
            </w:r>
          </w:p>
        </w:tc>
        <w:tc>
          <w:tcPr>
            <w:tcW w:type="dxa" w:w="1247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sz w:val="19"/>
              </w:rPr>
              <w:t>无障碍</w:t>
            </w:r>
          </w:p>
        </w:tc>
        <w:tc>
          <w:tcPr>
            <w:tcW w:type="dxa" w:w="4309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sz w:val="19"/>
              </w:rPr>
              <w:t>语义标签与无障碍属性覆盖</w:t>
            </w:r>
          </w:p>
        </w:tc>
        <w:tc>
          <w:tcPr>
            <w:tcW w:type="dxa" w:w="907"/>
          </w:tcPr>
          <w:p>
            <w:pPr>
              <w:spacing w:after="40" w:before="40" w:line="288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19"/>
              </w:rPr>
              <w:t>P2</w:t>
            </w:r>
          </w:p>
        </w:tc>
        <w:tc>
          <w:tcPr>
            <w:tcW w:type="dxa" w:w="2154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1B7A55"/>
                <w:sz w:val="19"/>
              </w:rPr>
              <w:t>符合预期</w:t>
            </w:r>
          </w:p>
        </w:tc>
      </w:tr>
      <w:tr>
        <w:tc>
          <w:tcPr>
            <w:tcW w:type="dxa" w:w="1020"/>
          </w:tcPr>
          <w:p>
            <w:pPr>
              <w:spacing w:after="40" w:before="40" w:line="288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19"/>
              </w:rPr>
              <w:t>NFT-21</w:t>
            </w:r>
          </w:p>
        </w:tc>
        <w:tc>
          <w:tcPr>
            <w:tcW w:type="dxa" w:w="1247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sz w:val="19"/>
              </w:rPr>
              <w:t>易用性</w:t>
            </w:r>
          </w:p>
        </w:tc>
        <w:tc>
          <w:tcPr>
            <w:tcW w:type="dxa" w:w="4309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sz w:val="19"/>
              </w:rPr>
              <w:t>空态提示与异常输入反馈</w:t>
            </w:r>
          </w:p>
        </w:tc>
        <w:tc>
          <w:tcPr>
            <w:tcW w:type="dxa" w:w="907"/>
          </w:tcPr>
          <w:p>
            <w:pPr>
              <w:spacing w:after="40" w:before="40" w:line="288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19"/>
              </w:rPr>
              <w:t>P2</w:t>
            </w:r>
          </w:p>
        </w:tc>
        <w:tc>
          <w:tcPr>
            <w:tcW w:type="dxa" w:w="2154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1B7A55"/>
                <w:sz w:val="19"/>
              </w:rPr>
              <w:t>符合预期</w:t>
            </w:r>
          </w:p>
        </w:tc>
      </w:tr>
    </w:tbl>
    <w:p>
      <w:pPr>
        <w:pStyle w:val="Heading1"/>
        <w:spacing w:before="280" w:after="120"/>
      </w:pPr>
      <w:r>
        <w:rPr>
          <w:rFonts w:ascii="Microsoft YaHei" w:hAnsi="Microsoft YaHei" w:eastAsia="Microsoft YaHei" w:cs="Microsoft YaHei"/>
          <w:b/>
          <w:color w:val="0F766E"/>
          <w:sz w:val="32"/>
        </w:rPr>
        <w:t>六、逐项测试结果与截图</w:t>
      </w:r>
    </w:p>
    <w:p>
      <w:pPr>
        <w:spacing w:after="120" w:line="324" w:lineRule="auto"/>
      </w:pPr>
      <w:r>
        <w:rPr>
          <w:rFonts w:ascii="Microsoft YaHei" w:hAnsi="Microsoft YaHei" w:eastAsia="Microsoft YaHei" w:cs="Microsoft YaHei"/>
          <w:color w:val="4B5563"/>
          <w:sz w:val="19"/>
        </w:rPr>
        <w:t>每个用例包含编号、测试类别、优先级、判定标准、实际结果、结论与证据截图。证据截图为测试脚本采集的实测数据页或真实页面截图，未做后期修饰。</w:t>
      </w:r>
    </w:p>
    <w:p>
      <w:r>
        <w:br w:type="page"/>
      </w:r>
    </w:p>
    <w:p>
      <w:pPr>
        <w:pStyle w:val="Heading2"/>
        <w:spacing w:before="200" w:after="120"/>
      </w:pPr>
      <w:r>
        <w:rPr>
          <w:rFonts w:ascii="Microsoft YaHei" w:hAnsi="Microsoft YaHei" w:eastAsia="Microsoft YaHei" w:cs="Microsoft YaHei"/>
          <w:b/>
          <w:color w:val="1F2937"/>
          <w:sz w:val="25"/>
        </w:rPr>
        <w:t>NFT-01 关键业务接口响应时间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28"/>
            <w:shd w:val="clear" w:fill="F0FAF9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0F766E"/>
                <w:sz w:val="18"/>
              </w:rPr>
              <w:t>测试类别 / 优先级</w:t>
            </w:r>
          </w:p>
        </w:tc>
        <w:tc>
          <w:tcPr>
            <w:tcW w:type="dxa" w:w="7710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sz w:val="18"/>
              </w:rPr>
              <w:t>性能效率 / P1</w:t>
            </w:r>
          </w:p>
        </w:tc>
      </w:tr>
      <w:tr>
        <w:tc>
          <w:tcPr>
            <w:tcW w:type="dxa" w:w="1928"/>
            <w:shd w:val="clear" w:fill="F0FAF9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0F766E"/>
                <w:sz w:val="18"/>
              </w:rPr>
              <w:t>判定标准</w:t>
            </w:r>
          </w:p>
        </w:tc>
        <w:tc>
          <w:tcPr>
            <w:tcW w:type="dxa" w:w="7710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sz w:val="18"/>
              </w:rPr>
              <w:t>本地环境 P95 ≤ 1500ms（60 条账单明细 ≤ 2500ms、AI 问答 ≤ 2000ms），错误率 0</w:t>
            </w:r>
          </w:p>
        </w:tc>
      </w:tr>
      <w:tr>
        <w:tc>
          <w:tcPr>
            <w:tcW w:type="dxa" w:w="1928"/>
            <w:shd w:val="clear" w:fill="F0FAF9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0F766E"/>
                <w:sz w:val="18"/>
              </w:rPr>
              <w:t>结论</w:t>
            </w:r>
          </w:p>
        </w:tc>
        <w:tc>
          <w:tcPr>
            <w:tcW w:type="dxa" w:w="7710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sz w:val="18"/>
              </w:rPr>
              <w:t>符合预期</w:t>
            </w:r>
          </w:p>
        </w:tc>
      </w:tr>
    </w:tbl>
    <w:p>
      <w:pPr>
        <w:spacing w:after="160" w:line="324" w:lineRule="auto"/>
      </w:pPr>
      <w:r>
        <w:rPr>
          <w:rFonts w:ascii="Microsoft YaHei" w:hAnsi="Microsoft YaHei" w:eastAsia="Microsoft YaHei" w:cs="Microsoft YaHei"/>
          <w:b/>
          <w:color w:val="0F766E"/>
          <w:sz w:val="20"/>
        </w:rPr>
        <w:t>实际结果：</w:t>
      </w:r>
      <w:r>
        <w:rPr>
          <w:rFonts w:ascii="Microsoft YaHei" w:hAnsi="Microsoft YaHei" w:eastAsia="Microsoft YaHei" w:cs="Microsoft YaHei"/>
          <w:sz w:val="20"/>
        </w:rPr>
        <w:t>5 类关键接口各采样 20 次：POST /api/auth/login P95=89.6ms；GET /api/dashboard P95=24.1ms；GET /api/meters P95=7.7ms；GET /api/bills/items P95=38.7ms；POST /api/ai/query P95=20.1ms；全部 HTTP 状态 200，无失败请求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FT-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324" w:lineRule="auto"/>
        <w:jc w:val="center"/>
      </w:pPr>
      <w:r>
        <w:rPr>
          <w:rFonts w:ascii="Microsoft YaHei" w:hAnsi="Microsoft YaHei" w:eastAsia="Microsoft YaHei" w:cs="Microsoft YaHei"/>
          <w:color w:val="6B7A86"/>
          <w:sz w:val="17"/>
        </w:rPr>
        <w:t>图 NFT-01 关键业务接口响应时间（实测证据）</w:t>
      </w:r>
    </w:p>
    <w:p>
      <w:r>
        <w:br w:type="page"/>
      </w:r>
    </w:p>
    <w:p>
      <w:pPr>
        <w:pStyle w:val="Heading2"/>
        <w:spacing w:before="200" w:after="120"/>
      </w:pPr>
      <w:r>
        <w:rPr>
          <w:rFonts w:ascii="Microsoft YaHei" w:hAnsi="Microsoft YaHei" w:eastAsia="Microsoft YaHei" w:cs="Microsoft YaHei"/>
          <w:b/>
          <w:color w:val="1F2937"/>
          <w:sz w:val="25"/>
        </w:rPr>
        <w:t>NFT-02 前端首屏与模块切换耗时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28"/>
            <w:shd w:val="clear" w:fill="F0FAF9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0F766E"/>
                <w:sz w:val="18"/>
              </w:rPr>
              <w:t>测试类别 / 优先级</w:t>
            </w:r>
          </w:p>
        </w:tc>
        <w:tc>
          <w:tcPr>
            <w:tcW w:type="dxa" w:w="7710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sz w:val="18"/>
              </w:rPr>
              <w:t>性能效率 / P1</w:t>
            </w:r>
          </w:p>
        </w:tc>
      </w:tr>
      <w:tr>
        <w:tc>
          <w:tcPr>
            <w:tcW w:type="dxa" w:w="1928"/>
            <w:shd w:val="clear" w:fill="F0FAF9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0F766E"/>
                <w:sz w:val="18"/>
              </w:rPr>
              <w:t>判定标准</w:t>
            </w:r>
          </w:p>
        </w:tc>
        <w:tc>
          <w:tcPr>
            <w:tcW w:type="dxa" w:w="7710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sz w:val="18"/>
              </w:rPr>
              <w:t>登录页首屏可交互 ≤ 3s，登录到总览呈现 ≤ 3s，模块切换平均 ≤ 1.5s</w:t>
            </w:r>
          </w:p>
        </w:tc>
      </w:tr>
      <w:tr>
        <w:tc>
          <w:tcPr>
            <w:tcW w:type="dxa" w:w="1928"/>
            <w:shd w:val="clear" w:fill="F0FAF9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0F766E"/>
                <w:sz w:val="18"/>
              </w:rPr>
              <w:t>结论</w:t>
            </w:r>
          </w:p>
        </w:tc>
        <w:tc>
          <w:tcPr>
            <w:tcW w:type="dxa" w:w="7710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sz w:val="18"/>
              </w:rPr>
              <w:t>符合预期</w:t>
            </w:r>
          </w:p>
        </w:tc>
      </w:tr>
    </w:tbl>
    <w:p>
      <w:pPr>
        <w:spacing w:after="160" w:line="324" w:lineRule="auto"/>
      </w:pPr>
      <w:r>
        <w:rPr>
          <w:rFonts w:ascii="Microsoft YaHei" w:hAnsi="Microsoft YaHei" w:eastAsia="Microsoft YaHei" w:cs="Microsoft YaHei"/>
          <w:b/>
          <w:color w:val="0F766E"/>
          <w:sz w:val="20"/>
        </w:rPr>
        <w:t>实际结果：</w:t>
      </w:r>
      <w:r>
        <w:rPr>
          <w:rFonts w:ascii="Microsoft YaHei" w:hAnsi="Microsoft YaHei" w:eastAsia="Microsoft YaHei" w:cs="Microsoft YaHei"/>
          <w:sz w:val="20"/>
        </w:rPr>
        <w:t>登录页首屏可交互 376ms；点击登录到总览指标卡呈现 983ms；4 个模块切换平均 133ms（最长 198ms）；FCP 484ms，均在阈值内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598074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FT-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807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324" w:lineRule="auto"/>
        <w:jc w:val="center"/>
      </w:pPr>
      <w:r>
        <w:rPr>
          <w:rFonts w:ascii="Microsoft YaHei" w:hAnsi="Microsoft YaHei" w:eastAsia="Microsoft YaHei" w:cs="Microsoft YaHei"/>
          <w:color w:val="6B7A86"/>
          <w:sz w:val="17"/>
        </w:rPr>
        <w:t>图 NFT-02 前端首屏与模块切换耗时（实测证据）</w:t>
      </w:r>
    </w:p>
    <w:p>
      <w:r>
        <w:br w:type="page"/>
      </w:r>
    </w:p>
    <w:p>
      <w:pPr>
        <w:pStyle w:val="Heading2"/>
        <w:spacing w:before="200" w:after="120"/>
      </w:pPr>
      <w:r>
        <w:rPr>
          <w:rFonts w:ascii="Microsoft YaHei" w:hAnsi="Microsoft YaHei" w:eastAsia="Microsoft YaHei" w:cs="Microsoft YaHei"/>
          <w:b/>
          <w:color w:val="1F2937"/>
          <w:sz w:val="25"/>
        </w:rPr>
        <w:t>NFT-03 并发请求处理能力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28"/>
            <w:shd w:val="clear" w:fill="F0FAF9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0F766E"/>
                <w:sz w:val="18"/>
              </w:rPr>
              <w:t>测试类别 / 优先级</w:t>
            </w:r>
          </w:p>
        </w:tc>
        <w:tc>
          <w:tcPr>
            <w:tcW w:type="dxa" w:w="7710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sz w:val="18"/>
              </w:rPr>
              <w:t>性能效率 / P2</w:t>
            </w:r>
          </w:p>
        </w:tc>
      </w:tr>
      <w:tr>
        <w:tc>
          <w:tcPr>
            <w:tcW w:type="dxa" w:w="1928"/>
            <w:shd w:val="clear" w:fill="F0FAF9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0F766E"/>
                <w:sz w:val="18"/>
              </w:rPr>
              <w:t>判定标准</w:t>
            </w:r>
          </w:p>
        </w:tc>
        <w:tc>
          <w:tcPr>
            <w:tcW w:type="dxa" w:w="7710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sz w:val="18"/>
              </w:rPr>
              <w:t>20 并发 × 3 轮成功率 100%，整体墙钟时间 ≤ 6s</w:t>
            </w:r>
          </w:p>
        </w:tc>
      </w:tr>
      <w:tr>
        <w:tc>
          <w:tcPr>
            <w:tcW w:type="dxa" w:w="1928"/>
            <w:shd w:val="clear" w:fill="F0FAF9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0F766E"/>
                <w:sz w:val="18"/>
              </w:rPr>
              <w:t>结论</w:t>
            </w:r>
          </w:p>
        </w:tc>
        <w:tc>
          <w:tcPr>
            <w:tcW w:type="dxa" w:w="7710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sz w:val="18"/>
              </w:rPr>
              <w:t>符合预期</w:t>
            </w:r>
          </w:p>
        </w:tc>
      </w:tr>
    </w:tbl>
    <w:p>
      <w:pPr>
        <w:spacing w:after="160" w:line="324" w:lineRule="auto"/>
      </w:pPr>
      <w:r>
        <w:rPr>
          <w:rFonts w:ascii="Microsoft YaHei" w:hAnsi="Microsoft YaHei" w:eastAsia="Microsoft YaHei" w:cs="Microsoft YaHei"/>
          <w:b/>
          <w:color w:val="0F766E"/>
          <w:sz w:val="20"/>
        </w:rPr>
        <w:t>实际结果：</w:t>
      </w:r>
      <w:r>
        <w:rPr>
          <w:rFonts w:ascii="Microsoft YaHei" w:hAnsi="Microsoft YaHei" w:eastAsia="Microsoft YaHei" w:cs="Microsoft YaHei"/>
          <w:sz w:val="20"/>
        </w:rPr>
        <w:t>60 个并发请求全部成功、失败 0 个；平均墙钟 154ms，并发 P95 156.8ms，无 5xx 与超时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FT-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324" w:lineRule="auto"/>
        <w:jc w:val="center"/>
      </w:pPr>
      <w:r>
        <w:rPr>
          <w:rFonts w:ascii="Microsoft YaHei" w:hAnsi="Microsoft YaHei" w:eastAsia="Microsoft YaHei" w:cs="Microsoft YaHei"/>
          <w:color w:val="6B7A86"/>
          <w:sz w:val="17"/>
        </w:rPr>
        <w:t>图 NFT-03 并发请求处理能力（实测证据）</w:t>
      </w:r>
    </w:p>
    <w:p>
      <w:r>
        <w:br w:type="page"/>
      </w:r>
    </w:p>
    <w:p>
      <w:pPr>
        <w:pStyle w:val="Heading2"/>
        <w:spacing w:before="200" w:after="120"/>
      </w:pPr>
      <w:r>
        <w:rPr>
          <w:rFonts w:ascii="Microsoft YaHei" w:hAnsi="Microsoft YaHei" w:eastAsia="Microsoft YaHei" w:cs="Microsoft YaHei"/>
          <w:b/>
          <w:color w:val="1F2937"/>
          <w:sz w:val="25"/>
        </w:rPr>
        <w:t>NFT-04 大数据量表格渲染性能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28"/>
            <w:shd w:val="clear" w:fill="F0FAF9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0F766E"/>
                <w:sz w:val="18"/>
              </w:rPr>
              <w:t>测试类别 / 优先级</w:t>
            </w:r>
          </w:p>
        </w:tc>
        <w:tc>
          <w:tcPr>
            <w:tcW w:type="dxa" w:w="7710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sz w:val="18"/>
              </w:rPr>
              <w:t>性能效率 / P2</w:t>
            </w:r>
          </w:p>
        </w:tc>
      </w:tr>
      <w:tr>
        <w:tc>
          <w:tcPr>
            <w:tcW w:type="dxa" w:w="1928"/>
            <w:shd w:val="clear" w:fill="F0FAF9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0F766E"/>
                <w:sz w:val="18"/>
              </w:rPr>
              <w:t>判定标准</w:t>
            </w:r>
          </w:p>
        </w:tc>
        <w:tc>
          <w:tcPr>
            <w:tcW w:type="dxa" w:w="7710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sz w:val="18"/>
              </w:rPr>
              <w:t>60 行账单明细在 2.5s 内完成渲染，且行数与接口一致</w:t>
            </w:r>
          </w:p>
        </w:tc>
      </w:tr>
      <w:tr>
        <w:tc>
          <w:tcPr>
            <w:tcW w:type="dxa" w:w="1928"/>
            <w:shd w:val="clear" w:fill="F0FAF9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0F766E"/>
                <w:sz w:val="18"/>
              </w:rPr>
              <w:t>结论</w:t>
            </w:r>
          </w:p>
        </w:tc>
        <w:tc>
          <w:tcPr>
            <w:tcW w:type="dxa" w:w="7710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sz w:val="18"/>
              </w:rPr>
              <w:t>符合预期</w:t>
            </w:r>
          </w:p>
        </w:tc>
      </w:tr>
    </w:tbl>
    <w:p>
      <w:pPr>
        <w:spacing w:after="160" w:line="324" w:lineRule="auto"/>
      </w:pPr>
      <w:r>
        <w:rPr>
          <w:rFonts w:ascii="Microsoft YaHei" w:hAnsi="Microsoft YaHei" w:eastAsia="Microsoft YaHei" w:cs="Microsoft YaHei"/>
          <w:b/>
          <w:color w:val="0F766E"/>
          <w:sz w:val="20"/>
        </w:rPr>
        <w:t>实际结果：</w:t>
      </w:r>
      <w:r>
        <w:rPr>
          <w:rFonts w:ascii="Microsoft YaHei" w:hAnsi="Microsoft YaHei" w:eastAsia="Microsoft YaHei" w:cs="Microsoft YaHei"/>
          <w:sz w:val="20"/>
        </w:rPr>
        <w:t>点击“计费账单”到 60 行明细渲染完成用时 325ms，表格行数 63，页面 DOM 元素 2399 个，滚动与操作流畅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FT-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324" w:lineRule="auto"/>
        <w:jc w:val="center"/>
      </w:pPr>
      <w:r>
        <w:rPr>
          <w:rFonts w:ascii="Microsoft YaHei" w:hAnsi="Microsoft YaHei" w:eastAsia="Microsoft YaHei" w:cs="Microsoft YaHei"/>
          <w:color w:val="6B7A86"/>
          <w:sz w:val="17"/>
        </w:rPr>
        <w:t>图 NFT-04 大数据量表格渲染性能（实测证据）</w:t>
      </w:r>
    </w:p>
    <w:p>
      <w:r>
        <w:br w:type="page"/>
      </w:r>
    </w:p>
    <w:p>
      <w:pPr>
        <w:pStyle w:val="Heading2"/>
        <w:spacing w:before="200" w:after="120"/>
      </w:pPr>
      <w:r>
        <w:rPr>
          <w:rFonts w:ascii="Microsoft YaHei" w:hAnsi="Microsoft YaHei" w:eastAsia="Microsoft YaHei" w:cs="Microsoft YaHei"/>
          <w:b/>
          <w:color w:val="1F2937"/>
          <w:sz w:val="25"/>
        </w:rPr>
        <w:t>NFT-05 前端生产构建与产物体积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28"/>
            <w:shd w:val="clear" w:fill="F0FAF9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0F766E"/>
                <w:sz w:val="18"/>
              </w:rPr>
              <w:t>测试类别 / 优先级</w:t>
            </w:r>
          </w:p>
        </w:tc>
        <w:tc>
          <w:tcPr>
            <w:tcW w:type="dxa" w:w="7710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sz w:val="18"/>
              </w:rPr>
              <w:t>性能效率 / P2</w:t>
            </w:r>
          </w:p>
        </w:tc>
      </w:tr>
      <w:tr>
        <w:tc>
          <w:tcPr>
            <w:tcW w:type="dxa" w:w="1928"/>
            <w:shd w:val="clear" w:fill="F0FAF9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0F766E"/>
                <w:sz w:val="18"/>
              </w:rPr>
              <w:t>判定标准</w:t>
            </w:r>
          </w:p>
        </w:tc>
        <w:tc>
          <w:tcPr>
            <w:tcW w:type="dxa" w:w="7710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sz w:val="18"/>
              </w:rPr>
              <w:t>构建成功，产物可统计，单个 JS chunk 告警需记录</w:t>
            </w:r>
          </w:p>
        </w:tc>
      </w:tr>
      <w:tr>
        <w:tc>
          <w:tcPr>
            <w:tcW w:type="dxa" w:w="1928"/>
            <w:shd w:val="clear" w:fill="F0FAF9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0F766E"/>
                <w:sz w:val="18"/>
              </w:rPr>
              <w:t>结论</w:t>
            </w:r>
          </w:p>
        </w:tc>
        <w:tc>
          <w:tcPr>
            <w:tcW w:type="dxa" w:w="7710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sz w:val="18"/>
              </w:rPr>
              <w:t>符合预期</w:t>
            </w:r>
          </w:p>
        </w:tc>
      </w:tr>
    </w:tbl>
    <w:p>
      <w:pPr>
        <w:spacing w:after="160" w:line="324" w:lineRule="auto"/>
      </w:pPr>
      <w:r>
        <w:rPr>
          <w:rFonts w:ascii="Microsoft YaHei" w:hAnsi="Microsoft YaHei" w:eastAsia="Microsoft YaHei" w:cs="Microsoft YaHei"/>
          <w:b/>
          <w:color w:val="0F766E"/>
          <w:sz w:val="20"/>
        </w:rPr>
        <w:t>实际结果：</w:t>
      </w:r>
      <w:r>
        <w:rPr>
          <w:rFonts w:ascii="Microsoft YaHei" w:hAnsi="Microsoft YaHei" w:eastAsia="Microsoft YaHei" w:cs="Microsoft YaHei"/>
          <w:sz w:val="20"/>
        </w:rPr>
        <w:t>npm run build 成功，产物 26 个文件共 1.48MB，最大文件 assets/DashboardView-ClhlNj5K.js（523KB）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FT-0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324" w:lineRule="auto"/>
        <w:jc w:val="center"/>
      </w:pPr>
      <w:r>
        <w:rPr>
          <w:rFonts w:ascii="Microsoft YaHei" w:hAnsi="Microsoft YaHei" w:eastAsia="Microsoft YaHei" w:cs="Microsoft YaHei"/>
          <w:color w:val="6B7A86"/>
          <w:sz w:val="17"/>
        </w:rPr>
        <w:t>图 NFT-05 前端生产构建与产物体积（实测证据）</w:t>
      </w:r>
    </w:p>
    <w:p>
      <w:r>
        <w:br w:type="page"/>
      </w:r>
    </w:p>
    <w:p>
      <w:pPr>
        <w:pStyle w:val="Heading2"/>
        <w:spacing w:before="200" w:after="120"/>
      </w:pPr>
      <w:r>
        <w:rPr>
          <w:rFonts w:ascii="Microsoft YaHei" w:hAnsi="Microsoft YaHei" w:eastAsia="Microsoft YaHei" w:cs="Microsoft YaHei"/>
          <w:b/>
          <w:color w:val="1F2937"/>
          <w:sz w:val="25"/>
        </w:rPr>
        <w:t>NFT-06 未认证与无效令牌访问拦截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28"/>
            <w:shd w:val="clear" w:fill="F0FAF9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0F766E"/>
                <w:sz w:val="18"/>
              </w:rPr>
              <w:t>测试类别 / 优先级</w:t>
            </w:r>
          </w:p>
        </w:tc>
        <w:tc>
          <w:tcPr>
            <w:tcW w:type="dxa" w:w="7710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sz w:val="18"/>
              </w:rPr>
              <w:t>安全 / P0</w:t>
            </w:r>
          </w:p>
        </w:tc>
      </w:tr>
      <w:tr>
        <w:tc>
          <w:tcPr>
            <w:tcW w:type="dxa" w:w="1928"/>
            <w:shd w:val="clear" w:fill="F0FAF9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0F766E"/>
                <w:sz w:val="18"/>
              </w:rPr>
              <w:t>判定标准</w:t>
            </w:r>
          </w:p>
        </w:tc>
        <w:tc>
          <w:tcPr>
            <w:tcW w:type="dxa" w:w="7710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sz w:val="18"/>
              </w:rPr>
              <w:t>无 token、伪造 token、篡改签名、自签 payload 均返回 401，错误结构统一</w:t>
            </w:r>
          </w:p>
        </w:tc>
      </w:tr>
      <w:tr>
        <w:tc>
          <w:tcPr>
            <w:tcW w:type="dxa" w:w="1928"/>
            <w:shd w:val="clear" w:fill="F0FAF9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0F766E"/>
                <w:sz w:val="18"/>
              </w:rPr>
              <w:t>结论</w:t>
            </w:r>
          </w:p>
        </w:tc>
        <w:tc>
          <w:tcPr>
            <w:tcW w:type="dxa" w:w="7710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sz w:val="18"/>
              </w:rPr>
              <w:t>符合预期</w:t>
            </w:r>
          </w:p>
        </w:tc>
      </w:tr>
    </w:tbl>
    <w:p>
      <w:pPr>
        <w:spacing w:after="160" w:line="324" w:lineRule="auto"/>
      </w:pPr>
      <w:r>
        <w:rPr>
          <w:rFonts w:ascii="Microsoft YaHei" w:hAnsi="Microsoft YaHei" w:eastAsia="Microsoft YaHei" w:cs="Microsoft YaHei"/>
          <w:b/>
          <w:color w:val="0F766E"/>
          <w:sz w:val="20"/>
        </w:rPr>
        <w:t>实际结果：</w:t>
      </w:r>
      <w:r>
        <w:rPr>
          <w:rFonts w:ascii="Microsoft YaHei" w:hAnsi="Microsoft YaHei" w:eastAsia="Microsoft YaHei" w:cs="Microsoft YaHei"/>
          <w:sz w:val="20"/>
        </w:rPr>
        <w:t>5 项鉴权检查全部符合预期：未携带令牌、伪造令牌、篡改签名、自签 payload 均被后端拒绝（401），错误响应字段为 code,message,requestId,timestamp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FT-0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324" w:lineRule="auto"/>
        <w:jc w:val="center"/>
      </w:pPr>
      <w:r>
        <w:rPr>
          <w:rFonts w:ascii="Microsoft YaHei" w:hAnsi="Microsoft YaHei" w:eastAsia="Microsoft YaHei" w:cs="Microsoft YaHei"/>
          <w:color w:val="6B7A86"/>
          <w:sz w:val="17"/>
        </w:rPr>
        <w:t>图 NFT-06 未认证与无效令牌访问拦截（实测证据）</w:t>
      </w:r>
    </w:p>
    <w:p>
      <w:r>
        <w:br w:type="page"/>
      </w:r>
    </w:p>
    <w:p>
      <w:pPr>
        <w:pStyle w:val="Heading2"/>
        <w:spacing w:before="200" w:after="120"/>
      </w:pPr>
      <w:r>
        <w:rPr>
          <w:rFonts w:ascii="Microsoft YaHei" w:hAnsi="Microsoft YaHei" w:eastAsia="Microsoft YaHei" w:cs="Microsoft YaHei"/>
          <w:b/>
          <w:color w:val="1F2937"/>
          <w:sz w:val="25"/>
        </w:rPr>
        <w:t>NFT-07 角色越权与数据范围隔离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28"/>
            <w:shd w:val="clear" w:fill="F0FAF9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0F766E"/>
                <w:sz w:val="18"/>
              </w:rPr>
              <w:t>测试类别 / 优先级</w:t>
            </w:r>
          </w:p>
        </w:tc>
        <w:tc>
          <w:tcPr>
            <w:tcW w:type="dxa" w:w="7710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sz w:val="18"/>
              </w:rPr>
              <w:t>安全 / P0</w:t>
            </w:r>
          </w:p>
        </w:tc>
      </w:tr>
      <w:tr>
        <w:tc>
          <w:tcPr>
            <w:tcW w:type="dxa" w:w="1928"/>
            <w:shd w:val="clear" w:fill="F0FAF9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0F766E"/>
                <w:sz w:val="18"/>
              </w:rPr>
              <w:t>判定标准</w:t>
            </w:r>
          </w:p>
        </w:tc>
        <w:tc>
          <w:tcPr>
            <w:tcW w:type="dxa" w:w="7710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sz w:val="18"/>
              </w:rPr>
              <w:t>居民、运营、财务、审计四类角色的越权请求全部被拒或限制在授权范围</w:t>
            </w:r>
          </w:p>
        </w:tc>
      </w:tr>
      <w:tr>
        <w:tc>
          <w:tcPr>
            <w:tcW w:type="dxa" w:w="1928"/>
            <w:shd w:val="clear" w:fill="F0FAF9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0F766E"/>
                <w:sz w:val="18"/>
              </w:rPr>
              <w:t>结论</w:t>
            </w:r>
          </w:p>
        </w:tc>
        <w:tc>
          <w:tcPr>
            <w:tcW w:type="dxa" w:w="7710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sz w:val="18"/>
              </w:rPr>
              <w:t>符合预期</w:t>
            </w:r>
          </w:p>
        </w:tc>
      </w:tr>
    </w:tbl>
    <w:p>
      <w:pPr>
        <w:spacing w:after="160" w:line="324" w:lineRule="auto"/>
      </w:pPr>
      <w:r>
        <w:rPr>
          <w:rFonts w:ascii="Microsoft YaHei" w:hAnsi="Microsoft YaHei" w:eastAsia="Microsoft YaHei" w:cs="Microsoft YaHei"/>
          <w:b/>
          <w:color w:val="0F766E"/>
          <w:sz w:val="20"/>
        </w:rPr>
        <w:t>实际结果：</w:t>
      </w:r>
      <w:r>
        <w:rPr>
          <w:rFonts w:ascii="Microsoft YaHei" w:hAnsi="Microsoft YaHei" w:eastAsia="Microsoft YaHei" w:cs="Microsoft YaHei"/>
          <w:sz w:val="20"/>
        </w:rPr>
        <w:t>9 项角色与范围检查全部符合预期，未发现越权读取或越权写入；权限在后端逐次校验，与前端按钮是否隐藏无关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FT-0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324" w:lineRule="auto"/>
        <w:jc w:val="center"/>
      </w:pPr>
      <w:r>
        <w:rPr>
          <w:rFonts w:ascii="Microsoft YaHei" w:hAnsi="Microsoft YaHei" w:eastAsia="Microsoft YaHei" w:cs="Microsoft YaHei"/>
          <w:color w:val="6B7A86"/>
          <w:sz w:val="17"/>
        </w:rPr>
        <w:t>图 NFT-07 角色越权与数据范围隔离（实测证据）</w:t>
      </w:r>
    </w:p>
    <w:p>
      <w:r>
        <w:br w:type="page"/>
      </w:r>
    </w:p>
    <w:p>
      <w:pPr>
        <w:pStyle w:val="Heading2"/>
        <w:spacing w:before="200" w:after="120"/>
      </w:pPr>
      <w:r>
        <w:rPr>
          <w:rFonts w:ascii="Microsoft YaHei" w:hAnsi="Microsoft YaHei" w:eastAsia="Microsoft YaHei" w:cs="Microsoft YaHei"/>
          <w:b/>
          <w:color w:val="1F2937"/>
          <w:sz w:val="25"/>
        </w:rPr>
        <w:t>NFT-08 口令存储与会话资料保护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28"/>
            <w:shd w:val="clear" w:fill="F0FAF9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0F766E"/>
                <w:sz w:val="18"/>
              </w:rPr>
              <w:t>测试类别 / 优先级</w:t>
            </w:r>
          </w:p>
        </w:tc>
        <w:tc>
          <w:tcPr>
            <w:tcW w:type="dxa" w:w="7710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sz w:val="18"/>
              </w:rPr>
              <w:t>安全 / P0</w:t>
            </w:r>
          </w:p>
        </w:tc>
      </w:tr>
      <w:tr>
        <w:tc>
          <w:tcPr>
            <w:tcW w:type="dxa" w:w="1928"/>
            <w:shd w:val="clear" w:fill="F0FAF9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0F766E"/>
                <w:sz w:val="18"/>
              </w:rPr>
              <w:t>判定标准</w:t>
            </w:r>
          </w:p>
        </w:tc>
        <w:tc>
          <w:tcPr>
            <w:tcW w:type="dxa" w:w="7710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sz w:val="18"/>
              </w:rPr>
              <w:t>口令以 BCrypt 哈希落库、接口不返回口令字段、JWT 采用 HS512 且含有效期</w:t>
            </w:r>
          </w:p>
        </w:tc>
      </w:tr>
      <w:tr>
        <w:tc>
          <w:tcPr>
            <w:tcW w:type="dxa" w:w="1928"/>
            <w:shd w:val="clear" w:fill="F0FAF9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0F766E"/>
                <w:sz w:val="18"/>
              </w:rPr>
              <w:t>结论</w:t>
            </w:r>
          </w:p>
        </w:tc>
        <w:tc>
          <w:tcPr>
            <w:tcW w:type="dxa" w:w="7710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sz w:val="18"/>
              </w:rPr>
              <w:t>符合预期</w:t>
            </w:r>
          </w:p>
        </w:tc>
      </w:tr>
    </w:tbl>
    <w:p>
      <w:pPr>
        <w:spacing w:after="160" w:line="324" w:lineRule="auto"/>
      </w:pPr>
      <w:r>
        <w:rPr>
          <w:rFonts w:ascii="Microsoft YaHei" w:hAnsi="Microsoft YaHei" w:eastAsia="Microsoft YaHei" w:cs="Microsoft YaHei"/>
          <w:b/>
          <w:color w:val="0F766E"/>
          <w:sz w:val="20"/>
        </w:rPr>
        <w:t>实际结果：</w:t>
      </w:r>
      <w:r>
        <w:rPr>
          <w:rFonts w:ascii="Microsoft YaHei" w:hAnsi="Microsoft YaHei" w:eastAsia="Microsoft YaHei" w:cs="Microsoft YaHei"/>
          <w:sz w:val="20"/>
        </w:rPr>
        <w:t>HTTP 401，code=UNAUTHORIZED；id,username,name,role,enabled,areaScope,boundMeterId,phone；token,username,name,role,id；检测到 7 处 BCrypt 哈希标记；alg=HS512，含 sub,role,name,iat,exp，有效期 480 分钟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FT-08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324" w:lineRule="auto"/>
        <w:jc w:val="center"/>
      </w:pPr>
      <w:r>
        <w:rPr>
          <w:rFonts w:ascii="Microsoft YaHei" w:hAnsi="Microsoft YaHei" w:eastAsia="Microsoft YaHei" w:cs="Microsoft YaHei"/>
          <w:color w:val="6B7A86"/>
          <w:sz w:val="17"/>
        </w:rPr>
        <w:t>图 NFT-08 口令存储与会话资料保护（实测证据）</w:t>
      </w:r>
    </w:p>
    <w:p>
      <w:r>
        <w:br w:type="page"/>
      </w:r>
    </w:p>
    <w:p>
      <w:pPr>
        <w:pStyle w:val="Heading2"/>
        <w:spacing w:before="200" w:after="120"/>
      </w:pPr>
      <w:r>
        <w:rPr>
          <w:rFonts w:ascii="Microsoft YaHei" w:hAnsi="Microsoft YaHei" w:eastAsia="Microsoft YaHei" w:cs="Microsoft YaHei"/>
          <w:b/>
          <w:color w:val="1F2937"/>
          <w:sz w:val="25"/>
        </w:rPr>
        <w:t>NFT-09 输入校验与注入防护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28"/>
            <w:shd w:val="clear" w:fill="F0FAF9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0F766E"/>
                <w:sz w:val="18"/>
              </w:rPr>
              <w:t>测试类别 / 优先级</w:t>
            </w:r>
          </w:p>
        </w:tc>
        <w:tc>
          <w:tcPr>
            <w:tcW w:type="dxa" w:w="7710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sz w:val="18"/>
              </w:rPr>
              <w:t>安全 / P1</w:t>
            </w:r>
          </w:p>
        </w:tc>
      </w:tr>
      <w:tr>
        <w:tc>
          <w:tcPr>
            <w:tcW w:type="dxa" w:w="1928"/>
            <w:shd w:val="clear" w:fill="F0FAF9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0F766E"/>
                <w:sz w:val="18"/>
              </w:rPr>
              <w:t>判定标准</w:t>
            </w:r>
          </w:p>
        </w:tc>
        <w:tc>
          <w:tcPr>
            <w:tcW w:type="dxa" w:w="7710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sz w:val="18"/>
              </w:rPr>
              <w:t>越界/类型错误参数返回 400，注入样式与超长输入不产生 500 或全量泄漏</w:t>
            </w:r>
          </w:p>
        </w:tc>
      </w:tr>
      <w:tr>
        <w:tc>
          <w:tcPr>
            <w:tcW w:type="dxa" w:w="1928"/>
            <w:shd w:val="clear" w:fill="F0FAF9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0F766E"/>
                <w:sz w:val="18"/>
              </w:rPr>
              <w:t>结论</w:t>
            </w:r>
          </w:p>
        </w:tc>
        <w:tc>
          <w:tcPr>
            <w:tcW w:type="dxa" w:w="7710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sz w:val="18"/>
              </w:rPr>
              <w:t>不符合预期</w:t>
            </w:r>
          </w:p>
        </w:tc>
      </w:tr>
    </w:tbl>
    <w:p>
      <w:pPr>
        <w:spacing w:after="160" w:line="324" w:lineRule="auto"/>
      </w:pPr>
      <w:r>
        <w:rPr>
          <w:rFonts w:ascii="Microsoft YaHei" w:hAnsi="Microsoft YaHei" w:eastAsia="Microsoft YaHei" w:cs="Microsoft YaHei"/>
          <w:b/>
          <w:color w:val="0F766E"/>
          <w:sz w:val="20"/>
        </w:rPr>
        <w:t>实际结果：</w:t>
      </w:r>
      <w:r>
        <w:rPr>
          <w:rFonts w:ascii="Microsoft YaHei" w:hAnsi="Microsoft YaHei" w:eastAsia="Microsoft YaHei" w:cs="Microsoft YaHei"/>
          <w:sz w:val="20"/>
        </w:rPr>
        <w:t>不符合预期 1 项：分页参数 pageSize=0（越界） → HTTP 400，code=BAD_REQUEST；分页参数 pageSize=9999（越界） → HTTP 400，code=BAD_REQUEST；分页参数 pageSize=abc（类型错误） → HTTP 500，code=INTERNAL_ERROR；搜索关键字含 SQL 注入样式字符串 → HTTP 200，total=0；超长关键字（5000 字符） → HTTP 200，total=0；筛选类型传入非法枚举值 → HTTP 400，total=-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FT-09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324" w:lineRule="auto"/>
        <w:jc w:val="center"/>
      </w:pPr>
      <w:r>
        <w:rPr>
          <w:rFonts w:ascii="Microsoft YaHei" w:hAnsi="Microsoft YaHei" w:eastAsia="Microsoft YaHei" w:cs="Microsoft YaHei"/>
          <w:color w:val="6B7A86"/>
          <w:sz w:val="17"/>
        </w:rPr>
        <w:t>图 NFT-09 输入校验与注入防护（实测证据）</w:t>
      </w:r>
    </w:p>
    <w:p>
      <w:r>
        <w:br w:type="page"/>
      </w:r>
    </w:p>
    <w:p>
      <w:pPr>
        <w:pStyle w:val="Heading2"/>
        <w:spacing w:before="200" w:after="120"/>
      </w:pPr>
      <w:r>
        <w:rPr>
          <w:rFonts w:ascii="Microsoft YaHei" w:hAnsi="Microsoft YaHei" w:eastAsia="Microsoft YaHei" w:cs="Microsoft YaHei"/>
          <w:b/>
          <w:color w:val="1F2937"/>
          <w:sz w:val="25"/>
        </w:rPr>
        <w:t>NFT-10 响应安全头与请求追踪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28"/>
            <w:shd w:val="clear" w:fill="F0FAF9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0F766E"/>
                <w:sz w:val="18"/>
              </w:rPr>
              <w:t>测试类别 / 优先级</w:t>
            </w:r>
          </w:p>
        </w:tc>
        <w:tc>
          <w:tcPr>
            <w:tcW w:type="dxa" w:w="7710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sz w:val="18"/>
              </w:rPr>
              <w:t>安全 / P2</w:t>
            </w:r>
          </w:p>
        </w:tc>
      </w:tr>
      <w:tr>
        <w:tc>
          <w:tcPr>
            <w:tcW w:type="dxa" w:w="1928"/>
            <w:shd w:val="clear" w:fill="F0FAF9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0F766E"/>
                <w:sz w:val="18"/>
              </w:rPr>
              <w:t>判定标准</w:t>
            </w:r>
          </w:p>
        </w:tc>
        <w:tc>
          <w:tcPr>
            <w:tcW w:type="dxa" w:w="7710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sz w:val="18"/>
              </w:rPr>
              <w:t>存在 nosniff、X-Frame-Options、Cache-Control；X-Request-Id 透传</w:t>
            </w:r>
          </w:p>
        </w:tc>
      </w:tr>
      <w:tr>
        <w:tc>
          <w:tcPr>
            <w:tcW w:type="dxa" w:w="1928"/>
            <w:shd w:val="clear" w:fill="F0FAF9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0F766E"/>
                <w:sz w:val="18"/>
              </w:rPr>
              <w:t>结论</w:t>
            </w:r>
          </w:p>
        </w:tc>
        <w:tc>
          <w:tcPr>
            <w:tcW w:type="dxa" w:w="7710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sz w:val="18"/>
              </w:rPr>
              <w:t>符合预期</w:t>
            </w:r>
          </w:p>
        </w:tc>
      </w:tr>
    </w:tbl>
    <w:p>
      <w:pPr>
        <w:spacing w:after="160" w:line="324" w:lineRule="auto"/>
      </w:pPr>
      <w:r>
        <w:rPr>
          <w:rFonts w:ascii="Microsoft YaHei" w:hAnsi="Microsoft YaHei" w:eastAsia="Microsoft YaHei" w:cs="Microsoft YaHei"/>
          <w:b/>
          <w:color w:val="0F766E"/>
          <w:sz w:val="20"/>
        </w:rPr>
        <w:t>实际结果：</w:t>
      </w:r>
      <w:r>
        <w:rPr>
          <w:rFonts w:ascii="Microsoft YaHei" w:hAnsi="Microsoft YaHei" w:eastAsia="Microsoft YaHei" w:cs="Microsoft YaHei"/>
          <w:sz w:val="20"/>
        </w:rPr>
        <w:t>返回 X-Content-Type-Options=nosniff、X-Frame-Options=DENY、Cache-Control=no-cache, no-store, max-age=0, must-revalidate；请求头 X-Request-Id: nf-trace-0001 被原样回显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FT-10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324" w:lineRule="auto"/>
        <w:jc w:val="center"/>
      </w:pPr>
      <w:r>
        <w:rPr>
          <w:rFonts w:ascii="Microsoft YaHei" w:hAnsi="Microsoft YaHei" w:eastAsia="Microsoft YaHei" w:cs="Microsoft YaHei"/>
          <w:color w:val="6B7A86"/>
          <w:sz w:val="17"/>
        </w:rPr>
        <w:t>图 NFT-10 响应安全头与请求追踪（实测证据）</w:t>
      </w:r>
    </w:p>
    <w:p>
      <w:r>
        <w:br w:type="page"/>
      </w:r>
    </w:p>
    <w:p>
      <w:pPr>
        <w:pStyle w:val="Heading2"/>
        <w:spacing w:before="200" w:after="120"/>
      </w:pPr>
      <w:r>
        <w:rPr>
          <w:rFonts w:ascii="Microsoft YaHei" w:hAnsi="Microsoft YaHei" w:eastAsia="Microsoft YaHei" w:cs="Microsoft YaHei"/>
          <w:b/>
          <w:color w:val="1F2937"/>
          <w:sz w:val="25"/>
        </w:rPr>
        <w:t>NFT-11 前端本地存储被篡改不能提权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28"/>
            <w:shd w:val="clear" w:fill="F0FAF9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0F766E"/>
                <w:sz w:val="18"/>
              </w:rPr>
              <w:t>测试类别 / 优先级</w:t>
            </w:r>
          </w:p>
        </w:tc>
        <w:tc>
          <w:tcPr>
            <w:tcW w:type="dxa" w:w="7710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sz w:val="18"/>
              </w:rPr>
              <w:t>安全 / P0</w:t>
            </w:r>
          </w:p>
        </w:tc>
      </w:tr>
      <w:tr>
        <w:tc>
          <w:tcPr>
            <w:tcW w:type="dxa" w:w="1928"/>
            <w:shd w:val="clear" w:fill="F0FAF9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0F766E"/>
                <w:sz w:val="18"/>
              </w:rPr>
              <w:t>判定标准</w:t>
            </w:r>
          </w:p>
        </w:tc>
        <w:tc>
          <w:tcPr>
            <w:tcW w:type="dxa" w:w="7710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sz w:val="18"/>
              </w:rPr>
              <w:t>改写 localStorage 中的角色后，管理端接口仍被后端拒绝，页面不出现越权数据</w:t>
            </w:r>
          </w:p>
        </w:tc>
      </w:tr>
      <w:tr>
        <w:tc>
          <w:tcPr>
            <w:tcW w:type="dxa" w:w="1928"/>
            <w:shd w:val="clear" w:fill="F0FAF9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0F766E"/>
                <w:sz w:val="18"/>
              </w:rPr>
              <w:t>结论</w:t>
            </w:r>
          </w:p>
        </w:tc>
        <w:tc>
          <w:tcPr>
            <w:tcW w:type="dxa" w:w="7710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sz w:val="18"/>
              </w:rPr>
              <w:t>符合预期</w:t>
            </w:r>
          </w:p>
        </w:tc>
      </w:tr>
    </w:tbl>
    <w:p>
      <w:pPr>
        <w:spacing w:after="160" w:line="324" w:lineRule="auto"/>
      </w:pPr>
      <w:r>
        <w:rPr>
          <w:rFonts w:ascii="Microsoft YaHei" w:hAnsi="Microsoft YaHei" w:eastAsia="Microsoft YaHei" w:cs="Microsoft YaHei"/>
          <w:b/>
          <w:color w:val="0F766E"/>
          <w:sz w:val="20"/>
        </w:rPr>
        <w:t>实际结果：</w:t>
      </w:r>
      <w:r>
        <w:rPr>
          <w:rFonts w:ascii="Microsoft YaHei" w:hAnsi="Microsoft YaHei" w:eastAsia="Microsoft YaHei" w:cs="Microsoft YaHei"/>
          <w:sz w:val="20"/>
        </w:rPr>
        <w:t>篡改 localStorage 角色为 ADMIN 后访问 /admin/accounts：落地路径 /user/home，页面未出现账号管理数据（命中账号行 0 行），显示内容为“我的用水 个人水表、账单、缴费及反馈记录 居民用户 6 张明远 居民用户 ⌄ 居…”；同一令牌直连 GET /api/accounts 返回 HTTP 403（FORBIDDEN），越权被后端拒绝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FT-1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324" w:lineRule="auto"/>
        <w:jc w:val="center"/>
      </w:pPr>
      <w:r>
        <w:rPr>
          <w:rFonts w:ascii="Microsoft YaHei" w:hAnsi="Microsoft YaHei" w:eastAsia="Microsoft YaHei" w:cs="Microsoft YaHei"/>
          <w:color w:val="6B7A86"/>
          <w:sz w:val="17"/>
        </w:rPr>
        <w:t>图 NFT-11 前端本地存储被篡改不能提权（实测证据）</w:t>
      </w:r>
    </w:p>
    <w:p>
      <w:r>
        <w:br w:type="page"/>
      </w:r>
    </w:p>
    <w:p>
      <w:pPr>
        <w:pStyle w:val="Heading2"/>
        <w:spacing w:before="200" w:after="120"/>
      </w:pPr>
      <w:r>
        <w:rPr>
          <w:rFonts w:ascii="Microsoft YaHei" w:hAnsi="Microsoft YaHei" w:eastAsia="Microsoft YaHei" w:cs="Microsoft YaHei"/>
          <w:b/>
          <w:color w:val="1F2937"/>
          <w:sz w:val="25"/>
        </w:rPr>
        <w:t>NFT-12 跨域（CORS）配置检查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28"/>
            <w:shd w:val="clear" w:fill="F0FAF9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0F766E"/>
                <w:sz w:val="18"/>
              </w:rPr>
              <w:t>测试类别 / 优先级</w:t>
            </w:r>
          </w:p>
        </w:tc>
        <w:tc>
          <w:tcPr>
            <w:tcW w:type="dxa" w:w="7710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sz w:val="18"/>
              </w:rPr>
              <w:t>安全 / P2</w:t>
            </w:r>
          </w:p>
        </w:tc>
      </w:tr>
      <w:tr>
        <w:tc>
          <w:tcPr>
            <w:tcW w:type="dxa" w:w="1928"/>
            <w:shd w:val="clear" w:fill="F0FAF9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0F766E"/>
                <w:sz w:val="18"/>
              </w:rPr>
              <w:t>判定标准</w:t>
            </w:r>
          </w:p>
        </w:tc>
        <w:tc>
          <w:tcPr>
            <w:tcW w:type="dxa" w:w="7710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sz w:val="18"/>
              </w:rPr>
              <w:t>记录当前跨域策略并评估风险（本地原型允许任意来源，需在部署前收紧）</w:t>
            </w:r>
          </w:p>
        </w:tc>
      </w:tr>
      <w:tr>
        <w:tc>
          <w:tcPr>
            <w:tcW w:type="dxa" w:w="1928"/>
            <w:shd w:val="clear" w:fill="F0FAF9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0F766E"/>
                <w:sz w:val="18"/>
              </w:rPr>
              <w:t>结论</w:t>
            </w:r>
          </w:p>
        </w:tc>
        <w:tc>
          <w:tcPr>
            <w:tcW w:type="dxa" w:w="7710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sz w:val="18"/>
              </w:rPr>
              <w:t>观察项</w:t>
            </w:r>
          </w:p>
        </w:tc>
      </w:tr>
    </w:tbl>
    <w:p>
      <w:pPr>
        <w:spacing w:after="160" w:line="324" w:lineRule="auto"/>
      </w:pPr>
      <w:r>
        <w:rPr>
          <w:rFonts w:ascii="Microsoft YaHei" w:hAnsi="Microsoft YaHei" w:eastAsia="Microsoft YaHei" w:cs="Microsoft YaHei"/>
          <w:b/>
          <w:color w:val="0F766E"/>
          <w:sz w:val="20"/>
        </w:rPr>
        <w:t>实际结果：</w:t>
      </w:r>
      <w:r>
        <w:rPr>
          <w:rFonts w:ascii="Microsoft YaHei" w:hAnsi="Microsoft YaHei" w:eastAsia="Microsoft YaHei" w:cs="Microsoft YaHei"/>
          <w:sz w:val="20"/>
        </w:rPr>
        <w:t>预检返回 HTTP 200，Access-Control-Allow-Origin=https://evil.example，Access-Control-Allow-Credentials=true；跨域来源未做白名单限制（存在开放策略），记为部署前需收紧的配置项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FT-1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324" w:lineRule="auto"/>
        <w:jc w:val="center"/>
      </w:pPr>
      <w:r>
        <w:rPr>
          <w:rFonts w:ascii="Microsoft YaHei" w:hAnsi="Microsoft YaHei" w:eastAsia="Microsoft YaHei" w:cs="Microsoft YaHei"/>
          <w:color w:val="6B7A86"/>
          <w:sz w:val="17"/>
        </w:rPr>
        <w:t>图 NFT-12 跨域（CORS）配置检查（实测证据）</w:t>
      </w:r>
    </w:p>
    <w:p>
      <w:r>
        <w:br w:type="page"/>
      </w:r>
    </w:p>
    <w:p>
      <w:pPr>
        <w:pStyle w:val="Heading2"/>
        <w:spacing w:before="200" w:after="120"/>
      </w:pPr>
      <w:r>
        <w:rPr>
          <w:rFonts w:ascii="Microsoft YaHei" w:hAnsi="Microsoft YaHei" w:eastAsia="Microsoft YaHei" w:cs="Microsoft YaHei"/>
          <w:b/>
          <w:color w:val="1F2937"/>
          <w:sz w:val="25"/>
        </w:rPr>
        <w:t>NFT-13 桌面多分辨率布局适配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28"/>
            <w:shd w:val="clear" w:fill="F0FAF9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0F766E"/>
                <w:sz w:val="18"/>
              </w:rPr>
              <w:t>测试类别 / 优先级</w:t>
            </w:r>
          </w:p>
        </w:tc>
        <w:tc>
          <w:tcPr>
            <w:tcW w:type="dxa" w:w="7710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sz w:val="18"/>
              </w:rPr>
              <w:t>兼容性 / P1</w:t>
            </w:r>
          </w:p>
        </w:tc>
      </w:tr>
      <w:tr>
        <w:tc>
          <w:tcPr>
            <w:tcW w:type="dxa" w:w="1928"/>
            <w:shd w:val="clear" w:fill="F0FAF9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0F766E"/>
                <w:sz w:val="18"/>
              </w:rPr>
              <w:t>判定标准</w:t>
            </w:r>
          </w:p>
        </w:tc>
        <w:tc>
          <w:tcPr>
            <w:tcW w:type="dxa" w:w="7710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sz w:val="18"/>
              </w:rPr>
              <w:t>1920×1080 / 1440×900 / 1366×768 三档下无横向滚动、布局与内容完整</w:t>
            </w:r>
          </w:p>
        </w:tc>
      </w:tr>
      <w:tr>
        <w:tc>
          <w:tcPr>
            <w:tcW w:type="dxa" w:w="1928"/>
            <w:shd w:val="clear" w:fill="F0FAF9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0F766E"/>
                <w:sz w:val="18"/>
              </w:rPr>
              <w:t>结论</w:t>
            </w:r>
          </w:p>
        </w:tc>
        <w:tc>
          <w:tcPr>
            <w:tcW w:type="dxa" w:w="7710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sz w:val="18"/>
              </w:rPr>
              <w:t>符合预期</w:t>
            </w:r>
          </w:p>
        </w:tc>
      </w:tr>
    </w:tbl>
    <w:p>
      <w:pPr>
        <w:spacing w:after="160" w:line="324" w:lineRule="auto"/>
      </w:pPr>
      <w:r>
        <w:rPr>
          <w:rFonts w:ascii="Microsoft YaHei" w:hAnsi="Microsoft YaHei" w:eastAsia="Microsoft YaHei" w:cs="Microsoft YaHei"/>
          <w:b/>
          <w:color w:val="0F766E"/>
          <w:sz w:val="20"/>
        </w:rPr>
        <w:t>实际结果：</w:t>
      </w:r>
      <w:r>
        <w:rPr>
          <w:rFonts w:ascii="Microsoft YaHei" w:hAnsi="Microsoft YaHei" w:eastAsia="Microsoft YaHei" w:cs="Microsoft YaHei"/>
          <w:sz w:val="20"/>
        </w:rPr>
        <w:t>3 档分辨率均无横向滚动（最大溢出 0px），指标卡恒为 4 个、趋势图正常渲染，侧边栏与内容区布局完整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587756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FT-13-part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77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324" w:lineRule="auto"/>
        <w:jc w:val="center"/>
      </w:pPr>
      <w:r>
        <w:rPr>
          <w:rFonts w:ascii="Microsoft YaHei" w:hAnsi="Microsoft YaHei" w:eastAsia="Microsoft YaHei" w:cs="Microsoft YaHei"/>
          <w:color w:val="6B7A86"/>
          <w:sz w:val="17"/>
        </w:rPr>
        <w:t>图 NFT-13 桌面多分辨率布局适配（实测证据）（整页截图第 1/2 段）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5873432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FT-13-part2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73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324" w:lineRule="auto"/>
        <w:jc w:val="center"/>
      </w:pPr>
      <w:r>
        <w:rPr>
          <w:rFonts w:ascii="Microsoft YaHei" w:hAnsi="Microsoft YaHei" w:eastAsia="Microsoft YaHei" w:cs="Microsoft YaHei"/>
          <w:color w:val="6B7A86"/>
          <w:sz w:val="17"/>
        </w:rPr>
        <w:t>图 NFT-13 桌面多分辨率布局适配（实测证据）（整页截图第 2/2 段）</w:t>
      </w:r>
    </w:p>
    <w:p>
      <w:r>
        <w:br w:type="page"/>
      </w:r>
    </w:p>
    <w:p>
      <w:pPr>
        <w:pStyle w:val="Heading2"/>
        <w:spacing w:before="200" w:after="120"/>
      </w:pPr>
      <w:r>
        <w:rPr>
          <w:rFonts w:ascii="Microsoft YaHei" w:hAnsi="Microsoft YaHei" w:eastAsia="Microsoft YaHei" w:cs="Microsoft YaHei"/>
          <w:b/>
          <w:color w:val="1F2937"/>
          <w:sz w:val="25"/>
        </w:rPr>
        <w:t>NFT-14 移动端窄屏适配与抽屉导航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28"/>
            <w:shd w:val="clear" w:fill="F0FAF9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0F766E"/>
                <w:sz w:val="18"/>
              </w:rPr>
              <w:t>测试类别 / 优先级</w:t>
            </w:r>
          </w:p>
        </w:tc>
        <w:tc>
          <w:tcPr>
            <w:tcW w:type="dxa" w:w="7710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sz w:val="18"/>
              </w:rPr>
              <w:t>兼容性 / P1</w:t>
            </w:r>
          </w:p>
        </w:tc>
      </w:tr>
      <w:tr>
        <w:tc>
          <w:tcPr>
            <w:tcW w:type="dxa" w:w="1928"/>
            <w:shd w:val="clear" w:fill="F0FAF9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0F766E"/>
                <w:sz w:val="18"/>
              </w:rPr>
              <w:t>判定标准</w:t>
            </w:r>
          </w:p>
        </w:tc>
        <w:tc>
          <w:tcPr>
            <w:tcW w:type="dxa" w:w="7710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sz w:val="18"/>
              </w:rPr>
              <w:t>390×844 下隐藏侧边栏、显示菜单按钮，抽屉导航可打开且无横向溢出</w:t>
            </w:r>
          </w:p>
        </w:tc>
      </w:tr>
      <w:tr>
        <w:tc>
          <w:tcPr>
            <w:tcW w:type="dxa" w:w="1928"/>
            <w:shd w:val="clear" w:fill="F0FAF9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0F766E"/>
                <w:sz w:val="18"/>
              </w:rPr>
              <w:t>结论</w:t>
            </w:r>
          </w:p>
        </w:tc>
        <w:tc>
          <w:tcPr>
            <w:tcW w:type="dxa" w:w="7710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sz w:val="18"/>
              </w:rPr>
              <w:t>符合预期</w:t>
            </w:r>
          </w:p>
        </w:tc>
      </w:tr>
    </w:tbl>
    <w:p>
      <w:pPr>
        <w:spacing w:after="160" w:line="324" w:lineRule="auto"/>
      </w:pPr>
      <w:r>
        <w:rPr>
          <w:rFonts w:ascii="Microsoft YaHei" w:hAnsi="Microsoft YaHei" w:eastAsia="Microsoft YaHei" w:cs="Microsoft YaHei"/>
          <w:b/>
          <w:color w:val="0F766E"/>
          <w:sz w:val="20"/>
        </w:rPr>
        <w:t>实际结果：</w:t>
      </w:r>
      <w:r>
        <w:rPr>
          <w:rFonts w:ascii="Microsoft YaHei" w:hAnsi="Microsoft YaHei" w:eastAsia="Microsoft YaHei" w:cs="Microsoft YaHei"/>
          <w:sz w:val="20"/>
        </w:rPr>
        <w:t>390×844 视口：侧边栏 0 个（已收起），顶部菜单按钮 1 个，抽屉导航 8 项，横向溢出 0px，移动端可正常浏览与导航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6583362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FT-14-part1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83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324" w:lineRule="auto"/>
        <w:jc w:val="center"/>
      </w:pPr>
      <w:r>
        <w:rPr>
          <w:rFonts w:ascii="Microsoft YaHei" w:hAnsi="Microsoft YaHei" w:eastAsia="Microsoft YaHei" w:cs="Microsoft YaHei"/>
          <w:color w:val="6B7A86"/>
          <w:sz w:val="17"/>
        </w:rPr>
        <w:t>图 NFT-14 移动端窄屏适配与抽屉导航（实测证据）（整页截图第 1/4 段）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6583362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FT-14-part2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83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324" w:lineRule="auto"/>
        <w:jc w:val="center"/>
      </w:pPr>
      <w:r>
        <w:rPr>
          <w:rFonts w:ascii="Microsoft YaHei" w:hAnsi="Microsoft YaHei" w:eastAsia="Microsoft YaHei" w:cs="Microsoft YaHei"/>
          <w:color w:val="6B7A86"/>
          <w:sz w:val="17"/>
        </w:rPr>
        <w:t>图 NFT-14 移动端窄屏适配与抽屉导航（实测证据）（整页截图第 2/4 段）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6583362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FT-14-part3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83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324" w:lineRule="auto"/>
        <w:jc w:val="center"/>
      </w:pPr>
      <w:r>
        <w:rPr>
          <w:rFonts w:ascii="Microsoft YaHei" w:hAnsi="Microsoft YaHei" w:eastAsia="Microsoft YaHei" w:cs="Microsoft YaHei"/>
          <w:color w:val="6B7A86"/>
          <w:sz w:val="17"/>
        </w:rPr>
        <w:t>图 NFT-14 移动端窄屏适配与抽屉导航（实测证据）（整页截图第 3/4 段）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6575108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FT-14-part4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751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324" w:lineRule="auto"/>
        <w:jc w:val="center"/>
      </w:pPr>
      <w:r>
        <w:rPr>
          <w:rFonts w:ascii="Microsoft YaHei" w:hAnsi="Microsoft YaHei" w:eastAsia="Microsoft YaHei" w:cs="Microsoft YaHei"/>
          <w:color w:val="6B7A86"/>
          <w:sz w:val="17"/>
        </w:rPr>
        <w:t>图 NFT-14 移动端窄屏适配与抽屉导航（实测证据）（整页截图第 4/4 段）</w:t>
      </w:r>
    </w:p>
    <w:p>
      <w:r>
        <w:br w:type="page"/>
      </w:r>
    </w:p>
    <w:p>
      <w:pPr>
        <w:pStyle w:val="Heading2"/>
        <w:spacing w:before="200" w:after="120"/>
      </w:pPr>
      <w:r>
        <w:rPr>
          <w:rFonts w:ascii="Microsoft YaHei" w:hAnsi="Microsoft YaHei" w:eastAsia="Microsoft YaHei" w:cs="Microsoft YaHei"/>
          <w:b/>
          <w:color w:val="1F2937"/>
          <w:sz w:val="25"/>
        </w:rPr>
        <w:t>NFT-15 关键写操作幂等性（缴费与账单生成）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28"/>
            <w:shd w:val="clear" w:fill="F0FAF9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0F766E"/>
                <w:sz w:val="18"/>
              </w:rPr>
              <w:t>测试类别 / 优先级</w:t>
            </w:r>
          </w:p>
        </w:tc>
        <w:tc>
          <w:tcPr>
            <w:tcW w:type="dxa" w:w="7710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sz w:val="18"/>
              </w:rPr>
              <w:t>可靠性 / P0</w:t>
            </w:r>
          </w:p>
        </w:tc>
      </w:tr>
      <w:tr>
        <w:tc>
          <w:tcPr>
            <w:tcW w:type="dxa" w:w="1928"/>
            <w:shd w:val="clear" w:fill="F0FAF9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0F766E"/>
                <w:sz w:val="18"/>
              </w:rPr>
              <w:t>判定标准</w:t>
            </w:r>
          </w:p>
        </w:tc>
        <w:tc>
          <w:tcPr>
            <w:tcW w:type="dxa" w:w="7710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sz w:val="18"/>
              </w:rPr>
              <w:t>同一账单重复支付不产生第二笔流水；同一账期重复生成不覆盖已生成账单与已缴记录</w:t>
            </w:r>
          </w:p>
        </w:tc>
      </w:tr>
      <w:tr>
        <w:tc>
          <w:tcPr>
            <w:tcW w:type="dxa" w:w="1928"/>
            <w:shd w:val="clear" w:fill="F0FAF9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0F766E"/>
                <w:sz w:val="18"/>
              </w:rPr>
              <w:t>结论</w:t>
            </w:r>
          </w:p>
        </w:tc>
        <w:tc>
          <w:tcPr>
            <w:tcW w:type="dxa" w:w="7710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sz w:val="18"/>
              </w:rPr>
              <w:t>符合预期</w:t>
            </w:r>
          </w:p>
        </w:tc>
      </w:tr>
    </w:tbl>
    <w:p>
      <w:pPr>
        <w:spacing w:after="160" w:line="324" w:lineRule="auto"/>
      </w:pPr>
      <w:r>
        <w:rPr>
          <w:rFonts w:ascii="Microsoft YaHei" w:hAnsi="Microsoft YaHei" w:eastAsia="Microsoft YaHei" w:cs="Microsoft YaHei"/>
          <w:b/>
          <w:color w:val="0F766E"/>
          <w:sz w:val="20"/>
        </w:rPr>
        <w:t>实际结果：</w:t>
      </w:r>
      <w:r>
        <w:rPr>
          <w:rFonts w:ascii="Microsoft YaHei" w:hAnsi="Microsoft YaHei" w:eastAsia="Microsoft YaHei" w:cs="Microsoft YaHei"/>
          <w:sz w:val="20"/>
        </w:rPr>
        <w:t>重复支付：同一幂等键第二次请求返回同一流水号，换用新幂等键重试也未产生第二笔流水（流水总数 3 = 3），账单状态 已缴、待缴 0 元；重复生成账期 2026-10 后明细条数 60→60、已缴合计 6753→6753 元，均未被覆盖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FT-15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324" w:lineRule="auto"/>
        <w:jc w:val="center"/>
      </w:pPr>
      <w:r>
        <w:rPr>
          <w:rFonts w:ascii="Microsoft YaHei" w:hAnsi="Microsoft YaHei" w:eastAsia="Microsoft YaHei" w:cs="Microsoft YaHei"/>
          <w:color w:val="6B7A86"/>
          <w:sz w:val="17"/>
        </w:rPr>
        <w:t>图 NFT-15 关键写操作幂等性（缴费与账单生成）（实测证据）</w:t>
      </w:r>
    </w:p>
    <w:p>
      <w:r>
        <w:br w:type="page"/>
      </w:r>
    </w:p>
    <w:p>
      <w:pPr>
        <w:pStyle w:val="Heading2"/>
        <w:spacing w:before="200" w:after="120"/>
      </w:pPr>
      <w:r>
        <w:rPr>
          <w:rFonts w:ascii="Microsoft YaHei" w:hAnsi="Microsoft YaHei" w:eastAsia="Microsoft YaHei" w:cs="Microsoft YaHei"/>
          <w:b/>
          <w:color w:val="1F2937"/>
          <w:sz w:val="25"/>
        </w:rPr>
        <w:t>NFT-16 后端不可用时的降级提示与恢复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28"/>
            <w:shd w:val="clear" w:fill="F0FAF9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0F766E"/>
                <w:sz w:val="18"/>
              </w:rPr>
              <w:t>测试类别 / 优先级</w:t>
            </w:r>
          </w:p>
        </w:tc>
        <w:tc>
          <w:tcPr>
            <w:tcW w:type="dxa" w:w="7710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sz w:val="18"/>
              </w:rPr>
              <w:t>可靠性 / P1</w:t>
            </w:r>
          </w:p>
        </w:tc>
      </w:tr>
      <w:tr>
        <w:tc>
          <w:tcPr>
            <w:tcW w:type="dxa" w:w="1928"/>
            <w:shd w:val="clear" w:fill="F0FAF9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0F766E"/>
                <w:sz w:val="18"/>
              </w:rPr>
              <w:t>判定标准</w:t>
            </w:r>
          </w:p>
        </w:tc>
        <w:tc>
          <w:tcPr>
            <w:tcW w:type="dxa" w:w="7710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sz w:val="18"/>
              </w:rPr>
              <w:t>后端中断时页面给出明确错误提示与重试入口，后端恢复后点击重试可正常加载</w:t>
            </w:r>
          </w:p>
        </w:tc>
      </w:tr>
      <w:tr>
        <w:tc>
          <w:tcPr>
            <w:tcW w:type="dxa" w:w="1928"/>
            <w:shd w:val="clear" w:fill="F0FAF9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0F766E"/>
                <w:sz w:val="18"/>
              </w:rPr>
              <w:t>结论</w:t>
            </w:r>
          </w:p>
        </w:tc>
        <w:tc>
          <w:tcPr>
            <w:tcW w:type="dxa" w:w="7710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sz w:val="18"/>
              </w:rPr>
              <w:t>符合预期</w:t>
            </w:r>
          </w:p>
        </w:tc>
      </w:tr>
    </w:tbl>
    <w:p>
      <w:pPr>
        <w:spacing w:after="160" w:line="324" w:lineRule="auto"/>
      </w:pPr>
      <w:r>
        <w:rPr>
          <w:rFonts w:ascii="Microsoft YaHei" w:hAnsi="Microsoft YaHei" w:eastAsia="Microsoft YaHei" w:cs="Microsoft YaHei"/>
          <w:b/>
          <w:color w:val="0F766E"/>
          <w:sz w:val="20"/>
        </w:rPr>
        <w:t>实际结果：</w:t>
      </w:r>
      <w:r>
        <w:rPr>
          <w:rFonts w:ascii="Microsoft YaHei" w:hAnsi="Microsoft YaHei" w:eastAsia="Microsoft YaHei" w:cs="Microsoft YaHei"/>
          <w:sz w:val="20"/>
        </w:rPr>
        <w:t>停掉后端后点击刷新，页面出现错误提示“Request failed with status code 502 重试”并保留重试按钮；重启后端后点击“重试”，指标卡恢复为 4 个、错误提示消失，验证了故障可感知与可恢复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55448" cy="8412479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FT-16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55448" cy="84124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324" w:lineRule="auto"/>
        <w:jc w:val="center"/>
      </w:pPr>
      <w:r>
        <w:rPr>
          <w:rFonts w:ascii="Microsoft YaHei" w:hAnsi="Microsoft YaHei" w:eastAsia="Microsoft YaHei" w:cs="Microsoft YaHei"/>
          <w:color w:val="6B7A86"/>
          <w:sz w:val="17"/>
        </w:rPr>
        <w:t>图 NFT-16 后端不可用时的降级提示与恢复（实测证据）</w:t>
      </w:r>
    </w:p>
    <w:p>
      <w:r>
        <w:br w:type="page"/>
      </w:r>
    </w:p>
    <w:p>
      <w:pPr>
        <w:pStyle w:val="Heading2"/>
        <w:spacing w:before="200" w:after="120"/>
      </w:pPr>
      <w:r>
        <w:rPr>
          <w:rFonts w:ascii="Microsoft YaHei" w:hAnsi="Microsoft YaHei" w:eastAsia="Microsoft YaHei" w:cs="Microsoft YaHei"/>
          <w:b/>
          <w:color w:val="1F2937"/>
          <w:sz w:val="25"/>
        </w:rPr>
        <w:t>NFT-17 后端重启后数据与会话保留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28"/>
            <w:shd w:val="clear" w:fill="F0FAF9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0F766E"/>
                <w:sz w:val="18"/>
              </w:rPr>
              <w:t>测试类别 / 优先级</w:t>
            </w:r>
          </w:p>
        </w:tc>
        <w:tc>
          <w:tcPr>
            <w:tcW w:type="dxa" w:w="7710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sz w:val="18"/>
              </w:rPr>
              <w:t>可靠性 / P0</w:t>
            </w:r>
          </w:p>
        </w:tc>
      </w:tr>
      <w:tr>
        <w:tc>
          <w:tcPr>
            <w:tcW w:type="dxa" w:w="1928"/>
            <w:shd w:val="clear" w:fill="F0FAF9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0F766E"/>
                <w:sz w:val="18"/>
              </w:rPr>
              <w:t>判定标准</w:t>
            </w:r>
          </w:p>
        </w:tc>
        <w:tc>
          <w:tcPr>
            <w:tcW w:type="dxa" w:w="7710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sz w:val="18"/>
              </w:rPr>
              <w:t>重启后既有 JWT 仍可用，账单、流水、反馈与通知数据不丢失</w:t>
            </w:r>
          </w:p>
        </w:tc>
      </w:tr>
      <w:tr>
        <w:tc>
          <w:tcPr>
            <w:tcW w:type="dxa" w:w="1928"/>
            <w:shd w:val="clear" w:fill="F0FAF9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0F766E"/>
                <w:sz w:val="18"/>
              </w:rPr>
              <w:t>结论</w:t>
            </w:r>
          </w:p>
        </w:tc>
        <w:tc>
          <w:tcPr>
            <w:tcW w:type="dxa" w:w="7710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sz w:val="18"/>
              </w:rPr>
              <w:t>符合预期</w:t>
            </w:r>
          </w:p>
        </w:tc>
      </w:tr>
    </w:tbl>
    <w:p>
      <w:pPr>
        <w:spacing w:after="160" w:line="324" w:lineRule="auto"/>
      </w:pPr>
      <w:r>
        <w:rPr>
          <w:rFonts w:ascii="Microsoft YaHei" w:hAnsi="Microsoft YaHei" w:eastAsia="Microsoft YaHei" w:cs="Microsoft YaHei"/>
          <w:b/>
          <w:color w:val="0F766E"/>
          <w:sz w:val="20"/>
        </w:rPr>
        <w:t>实际结果：</w:t>
      </w:r>
      <w:r>
        <w:rPr>
          <w:rFonts w:ascii="Microsoft YaHei" w:hAnsi="Microsoft YaHei" w:eastAsia="Microsoft YaHei" w:cs="Microsoft YaHei"/>
          <w:sz w:val="20"/>
        </w:rPr>
        <w:t>重启后端后，先前签发的 admin 与居民令牌仍可正常调用接口（HTTP 200）；账单明细 60→60、缴费流水 3→3、居民反馈 1→1、异常 7→7 条，数据未丢失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FT-17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324" w:lineRule="auto"/>
        <w:jc w:val="center"/>
      </w:pPr>
      <w:r>
        <w:rPr>
          <w:rFonts w:ascii="Microsoft YaHei" w:hAnsi="Microsoft YaHei" w:eastAsia="Microsoft YaHei" w:cs="Microsoft YaHei"/>
          <w:color w:val="6B7A86"/>
          <w:sz w:val="17"/>
        </w:rPr>
        <w:t>图 NFT-17 后端重启后数据与会话保留（实测证据）</w:t>
      </w:r>
    </w:p>
    <w:p>
      <w:r>
        <w:br w:type="page"/>
      </w:r>
    </w:p>
    <w:p>
      <w:pPr>
        <w:pStyle w:val="Heading2"/>
        <w:spacing w:before="200" w:after="120"/>
      </w:pPr>
      <w:r>
        <w:rPr>
          <w:rFonts w:ascii="Microsoft YaHei" w:hAnsi="Microsoft YaHei" w:eastAsia="Microsoft YaHei" w:cs="Microsoft YaHei"/>
          <w:b/>
          <w:color w:val="1F2937"/>
          <w:sz w:val="25"/>
        </w:rPr>
        <w:t>NFT-18 表单校验提示清晰可读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28"/>
            <w:shd w:val="clear" w:fill="F0FAF9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0F766E"/>
                <w:sz w:val="18"/>
              </w:rPr>
              <w:t>测试类别 / 优先级</w:t>
            </w:r>
          </w:p>
        </w:tc>
        <w:tc>
          <w:tcPr>
            <w:tcW w:type="dxa" w:w="7710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sz w:val="18"/>
              </w:rPr>
              <w:t>易用性 / P1</w:t>
            </w:r>
          </w:p>
        </w:tc>
      </w:tr>
      <w:tr>
        <w:tc>
          <w:tcPr>
            <w:tcW w:type="dxa" w:w="1928"/>
            <w:shd w:val="clear" w:fill="F0FAF9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0F766E"/>
                <w:sz w:val="18"/>
              </w:rPr>
              <w:t>判定标准</w:t>
            </w:r>
          </w:p>
        </w:tc>
        <w:tc>
          <w:tcPr>
            <w:tcW w:type="dxa" w:w="7710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sz w:val="18"/>
              </w:rPr>
              <w:t>必填为空、密码过短、两次密码不一致、手机号非法时给出明确中文提示</w:t>
            </w:r>
          </w:p>
        </w:tc>
      </w:tr>
      <w:tr>
        <w:tc>
          <w:tcPr>
            <w:tcW w:type="dxa" w:w="1928"/>
            <w:shd w:val="clear" w:fill="F0FAF9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0F766E"/>
                <w:sz w:val="18"/>
              </w:rPr>
              <w:t>结论</w:t>
            </w:r>
          </w:p>
        </w:tc>
        <w:tc>
          <w:tcPr>
            <w:tcW w:type="dxa" w:w="7710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sz w:val="18"/>
              </w:rPr>
              <w:t>符合预期</w:t>
            </w:r>
          </w:p>
        </w:tc>
      </w:tr>
    </w:tbl>
    <w:p>
      <w:pPr>
        <w:spacing w:after="160" w:line="324" w:lineRule="auto"/>
      </w:pPr>
      <w:r>
        <w:rPr>
          <w:rFonts w:ascii="Microsoft YaHei" w:hAnsi="Microsoft YaHei" w:eastAsia="Microsoft YaHei" w:cs="Microsoft YaHei"/>
          <w:b/>
          <w:color w:val="0F766E"/>
          <w:sz w:val="20"/>
        </w:rPr>
        <w:t>实际结果：</w:t>
      </w:r>
      <w:r>
        <w:rPr>
          <w:rFonts w:ascii="Microsoft YaHei" w:hAnsi="Microsoft YaHei" w:eastAsia="Microsoft YaHei" w:cs="Microsoft YaHei"/>
          <w:sz w:val="20"/>
        </w:rPr>
        <w:t>登录页空提交提示“请输入账号和密码”；手机号非法提示“请输入正确的 11 位手机号”；两次密码不一致提示“两次输入的密码不一致”，校验信息均为中文且指出了具体字段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38498" cy="8412479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FT-1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8498" cy="84124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324" w:lineRule="auto"/>
        <w:jc w:val="center"/>
      </w:pPr>
      <w:r>
        <w:rPr>
          <w:rFonts w:ascii="Microsoft YaHei" w:hAnsi="Microsoft YaHei" w:eastAsia="Microsoft YaHei" w:cs="Microsoft YaHei"/>
          <w:color w:val="6B7A86"/>
          <w:sz w:val="17"/>
        </w:rPr>
        <w:t>图 NFT-18 表单校验提示清晰可读（实测证据）</w:t>
      </w:r>
    </w:p>
    <w:p>
      <w:r>
        <w:br w:type="page"/>
      </w:r>
    </w:p>
    <w:p>
      <w:pPr>
        <w:pStyle w:val="Heading2"/>
        <w:spacing w:before="200" w:after="120"/>
      </w:pPr>
      <w:r>
        <w:rPr>
          <w:rFonts w:ascii="Microsoft YaHei" w:hAnsi="Microsoft YaHei" w:eastAsia="Microsoft YaHei" w:cs="Microsoft YaHei"/>
          <w:b/>
          <w:color w:val="1F2937"/>
          <w:sz w:val="25"/>
        </w:rPr>
        <w:t>NFT-19 键盘操作与回车提交可用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28"/>
            <w:shd w:val="clear" w:fill="F0FAF9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0F766E"/>
                <w:sz w:val="18"/>
              </w:rPr>
              <w:t>测试类别 / 优先级</w:t>
            </w:r>
          </w:p>
        </w:tc>
        <w:tc>
          <w:tcPr>
            <w:tcW w:type="dxa" w:w="7710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sz w:val="18"/>
              </w:rPr>
              <w:t>易用性 / P2</w:t>
            </w:r>
          </w:p>
        </w:tc>
      </w:tr>
      <w:tr>
        <w:tc>
          <w:tcPr>
            <w:tcW w:type="dxa" w:w="1928"/>
            <w:shd w:val="clear" w:fill="F0FAF9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0F766E"/>
                <w:sz w:val="18"/>
              </w:rPr>
              <w:t>判定标准</w:t>
            </w:r>
          </w:p>
        </w:tc>
        <w:tc>
          <w:tcPr>
            <w:tcW w:type="dxa" w:w="7710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sz w:val="18"/>
              </w:rPr>
              <w:t>登录页可用 Tab 依次聚焦输入框，回车可直接提交并进入系统</w:t>
            </w:r>
          </w:p>
        </w:tc>
      </w:tr>
      <w:tr>
        <w:tc>
          <w:tcPr>
            <w:tcW w:type="dxa" w:w="1928"/>
            <w:shd w:val="clear" w:fill="F0FAF9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0F766E"/>
                <w:sz w:val="18"/>
              </w:rPr>
              <w:t>结论</w:t>
            </w:r>
          </w:p>
        </w:tc>
        <w:tc>
          <w:tcPr>
            <w:tcW w:type="dxa" w:w="7710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sz w:val="18"/>
              </w:rPr>
              <w:t>符合预期</w:t>
            </w:r>
          </w:p>
        </w:tc>
      </w:tr>
    </w:tbl>
    <w:p>
      <w:pPr>
        <w:spacing w:after="160" w:line="324" w:lineRule="auto"/>
      </w:pPr>
      <w:r>
        <w:rPr>
          <w:rFonts w:ascii="Microsoft YaHei" w:hAnsi="Microsoft YaHei" w:eastAsia="Microsoft YaHei" w:cs="Microsoft YaHei"/>
          <w:b/>
          <w:color w:val="0F766E"/>
          <w:sz w:val="20"/>
        </w:rPr>
        <w:t>实际结果：</w:t>
      </w:r>
      <w:r>
        <w:rPr>
          <w:rFonts w:ascii="Microsoft YaHei" w:hAnsi="Microsoft YaHei" w:eastAsia="Microsoft YaHei" w:cs="Microsoft YaHei"/>
          <w:sz w:val="20"/>
        </w:rPr>
        <w:t>Tab 顺序为 INPUT[请输入账号]，在密码框直接按 Enter 即完成登录并进入 /admin/dashboard，键盘可独立完成主要操作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915852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FT-19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158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324" w:lineRule="auto"/>
        <w:jc w:val="center"/>
      </w:pPr>
      <w:r>
        <w:rPr>
          <w:rFonts w:ascii="Microsoft YaHei" w:hAnsi="Microsoft YaHei" w:eastAsia="Microsoft YaHei" w:cs="Microsoft YaHei"/>
          <w:color w:val="6B7A86"/>
          <w:sz w:val="17"/>
        </w:rPr>
        <w:t>图 NFT-19 键盘操作与回车提交可用（实测证据）</w:t>
      </w:r>
    </w:p>
    <w:p>
      <w:r>
        <w:br w:type="page"/>
      </w:r>
    </w:p>
    <w:p>
      <w:pPr>
        <w:pStyle w:val="Heading2"/>
        <w:spacing w:before="200" w:after="120"/>
      </w:pPr>
      <w:r>
        <w:rPr>
          <w:rFonts w:ascii="Microsoft YaHei" w:hAnsi="Microsoft YaHei" w:eastAsia="Microsoft YaHei" w:cs="Microsoft YaHei"/>
          <w:b/>
          <w:color w:val="1F2937"/>
          <w:sz w:val="25"/>
        </w:rPr>
        <w:t>NFT-20 语义标签与无障碍属性覆盖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28"/>
            <w:shd w:val="clear" w:fill="F0FAF9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0F766E"/>
                <w:sz w:val="18"/>
              </w:rPr>
              <w:t>测试类别 / 优先级</w:t>
            </w:r>
          </w:p>
        </w:tc>
        <w:tc>
          <w:tcPr>
            <w:tcW w:type="dxa" w:w="7710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sz w:val="18"/>
              </w:rPr>
              <w:t>无障碍 / P2</w:t>
            </w:r>
          </w:p>
        </w:tc>
      </w:tr>
      <w:tr>
        <w:tc>
          <w:tcPr>
            <w:tcW w:type="dxa" w:w="1928"/>
            <w:shd w:val="clear" w:fill="F0FAF9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0F766E"/>
                <w:sz w:val="18"/>
              </w:rPr>
              <w:t>判定标准</w:t>
            </w:r>
          </w:p>
        </w:tc>
        <w:tc>
          <w:tcPr>
            <w:tcW w:type="dxa" w:w="7710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sz w:val="18"/>
              </w:rPr>
              <w:t>存在唯一 h1、图标按钮有 aria-label、表单控件有关联标签、页面声明语言</w:t>
            </w:r>
          </w:p>
        </w:tc>
      </w:tr>
      <w:tr>
        <w:tc>
          <w:tcPr>
            <w:tcW w:type="dxa" w:w="1928"/>
            <w:shd w:val="clear" w:fill="F0FAF9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0F766E"/>
                <w:sz w:val="18"/>
              </w:rPr>
              <w:t>结论</w:t>
            </w:r>
          </w:p>
        </w:tc>
        <w:tc>
          <w:tcPr>
            <w:tcW w:type="dxa" w:w="7710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sz w:val="18"/>
              </w:rPr>
              <w:t>符合预期</w:t>
            </w:r>
          </w:p>
        </w:tc>
      </w:tr>
    </w:tbl>
    <w:p>
      <w:pPr>
        <w:spacing w:after="160" w:line="324" w:lineRule="auto"/>
      </w:pPr>
      <w:r>
        <w:rPr>
          <w:rFonts w:ascii="Microsoft YaHei" w:hAnsi="Microsoft YaHei" w:eastAsia="Microsoft YaHei" w:cs="Microsoft YaHei"/>
          <w:b/>
          <w:color w:val="0F766E"/>
          <w:sz w:val="20"/>
        </w:rPr>
        <w:t>实际结果：</w:t>
      </w:r>
      <w:r>
        <w:rPr>
          <w:rFonts w:ascii="Microsoft YaHei" w:hAnsi="Microsoft YaHei" w:eastAsia="Microsoft YaHei" w:cs="Microsoft YaHei"/>
          <w:sz w:val="20"/>
        </w:rPr>
        <w:t>lang=zh-CN，h1 1 个；12 个按钮中纯图标按钮 5 个、全部带 aria-label（5/5）；0 个表单控件均有可识别标签，主要交互元素可被读屏与自动化识别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529971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FT-20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99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324" w:lineRule="auto"/>
        <w:jc w:val="center"/>
      </w:pPr>
      <w:r>
        <w:rPr>
          <w:rFonts w:ascii="Microsoft YaHei" w:hAnsi="Microsoft YaHei" w:eastAsia="Microsoft YaHei" w:cs="Microsoft YaHei"/>
          <w:color w:val="6B7A86"/>
          <w:sz w:val="17"/>
        </w:rPr>
        <w:t>图 NFT-20 语义标签与无障碍属性覆盖（实测证据）</w:t>
      </w:r>
    </w:p>
    <w:p>
      <w:r>
        <w:br w:type="page"/>
      </w:r>
    </w:p>
    <w:p>
      <w:pPr>
        <w:pStyle w:val="Heading2"/>
        <w:spacing w:before="200" w:after="120"/>
      </w:pPr>
      <w:r>
        <w:rPr>
          <w:rFonts w:ascii="Microsoft YaHei" w:hAnsi="Microsoft YaHei" w:eastAsia="Microsoft YaHei" w:cs="Microsoft YaHei"/>
          <w:b/>
          <w:color w:val="1F2937"/>
          <w:sz w:val="25"/>
        </w:rPr>
        <w:t>NFT-21 空态提示与异常输入反馈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28"/>
            <w:shd w:val="clear" w:fill="F0FAF9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0F766E"/>
                <w:sz w:val="18"/>
              </w:rPr>
              <w:t>测试类别 / 优先级</w:t>
            </w:r>
          </w:p>
        </w:tc>
        <w:tc>
          <w:tcPr>
            <w:tcW w:type="dxa" w:w="7710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sz w:val="18"/>
              </w:rPr>
              <w:t>易用性 / P2</w:t>
            </w:r>
          </w:p>
        </w:tc>
      </w:tr>
      <w:tr>
        <w:tc>
          <w:tcPr>
            <w:tcW w:type="dxa" w:w="1928"/>
            <w:shd w:val="clear" w:fill="F0FAF9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0F766E"/>
                <w:sz w:val="18"/>
              </w:rPr>
              <w:t>判定标准</w:t>
            </w:r>
          </w:p>
        </w:tc>
        <w:tc>
          <w:tcPr>
            <w:tcW w:type="dxa" w:w="7710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sz w:val="18"/>
              </w:rPr>
              <w:t>查询无结果时给出明确空态文案，不出现空白或无反馈</w:t>
            </w:r>
          </w:p>
        </w:tc>
      </w:tr>
      <w:tr>
        <w:tc>
          <w:tcPr>
            <w:tcW w:type="dxa" w:w="1928"/>
            <w:shd w:val="clear" w:fill="F0FAF9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0F766E"/>
                <w:sz w:val="18"/>
              </w:rPr>
              <w:t>结论</w:t>
            </w:r>
          </w:p>
        </w:tc>
        <w:tc>
          <w:tcPr>
            <w:tcW w:type="dxa" w:w="7710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sz w:val="18"/>
              </w:rPr>
              <w:t>符合预期</w:t>
            </w:r>
          </w:p>
        </w:tc>
      </w:tr>
    </w:tbl>
    <w:p>
      <w:pPr>
        <w:spacing w:after="160" w:line="324" w:lineRule="auto"/>
      </w:pPr>
      <w:r>
        <w:rPr>
          <w:rFonts w:ascii="Microsoft YaHei" w:hAnsi="Microsoft YaHei" w:eastAsia="Microsoft YaHei" w:cs="Microsoft YaHei"/>
          <w:b/>
          <w:color w:val="0F766E"/>
          <w:sz w:val="20"/>
        </w:rPr>
        <w:t>实际结果：</w:t>
      </w:r>
      <w:r>
        <w:rPr>
          <w:rFonts w:ascii="Microsoft YaHei" w:hAnsi="Microsoft YaHei" w:eastAsia="Microsoft YaHei" w:cs="Microsoft YaHei"/>
          <w:sz w:val="20"/>
        </w:rPr>
        <w:t>查询不存在的水表编号后列表 0 行，页面显示空态文案“没有符合条件的水表”，用户可明确区分“无数据”与“加载失败”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659948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FT-21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599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324" w:lineRule="auto"/>
        <w:jc w:val="center"/>
      </w:pPr>
      <w:r>
        <w:rPr>
          <w:rFonts w:ascii="Microsoft YaHei" w:hAnsi="Microsoft YaHei" w:eastAsia="Microsoft YaHei" w:cs="Microsoft YaHei"/>
          <w:color w:val="6B7A86"/>
          <w:sz w:val="17"/>
        </w:rPr>
        <w:t>图 NFT-21 空态提示与异常输入反馈（实测证据）</w:t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Microsoft YaHei" w:hAnsi="Microsoft YaHei" w:eastAsia="Microsoft YaHei" w:cs="Microsoft YaHei"/>
          <w:b/>
          <w:color w:val="0F766E"/>
          <w:sz w:val="32"/>
        </w:rPr>
        <w:t>七、缺陷与风险记录</w:t>
      </w:r>
    </w:p>
    <w:p>
      <w:pPr>
        <w:spacing w:after="120" w:line="324" w:lineRule="auto"/>
      </w:pPr>
      <w:r>
        <w:rPr>
          <w:rFonts w:ascii="Microsoft YaHei" w:hAnsi="Microsoft YaHei" w:eastAsia="Microsoft YaHei" w:cs="Microsoft YaHei"/>
          <w:sz w:val="20"/>
        </w:rPr>
        <w:t>下表汇总本轮非功能测试发现的问题：1 个缺陷（建议修复）与 3 个观察项（需要关注或在部署前处理）。除 D01 外，其余问题不影响既定非功能阈值的通过判定。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907"/>
            <w:shd w:val="clear" w:fill="0F766E"/>
          </w:tcPr>
          <w:p>
            <w:pPr>
              <w:spacing w:after="40" w:before="40" w:line="288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编号</w:t>
            </w:r>
          </w:p>
        </w:tc>
        <w:tc>
          <w:tcPr>
            <w:tcW w:type="dxa" w:w="1474"/>
            <w:shd w:val="clear" w:fill="0F766E"/>
          </w:tcPr>
          <w:p>
            <w:pPr>
              <w:spacing w:after="40" w:before="40" w:line="288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类型</w:t>
            </w:r>
          </w:p>
        </w:tc>
        <w:tc>
          <w:tcPr>
            <w:tcW w:type="dxa" w:w="1020"/>
            <w:shd w:val="clear" w:fill="0F766E"/>
          </w:tcPr>
          <w:p>
            <w:pPr>
              <w:spacing w:after="40" w:before="40" w:line="288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严重度</w:t>
            </w:r>
          </w:p>
        </w:tc>
        <w:tc>
          <w:tcPr>
            <w:tcW w:type="dxa" w:w="6236"/>
            <w:shd w:val="clear" w:fill="0F766E"/>
          </w:tcPr>
          <w:p>
            <w:pPr>
              <w:spacing w:after="40" w:before="40" w:line="288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问题描述</w:t>
            </w:r>
          </w:p>
        </w:tc>
      </w:tr>
      <w:tr>
        <w:tc>
          <w:tcPr>
            <w:tcW w:type="dxa" w:w="907"/>
          </w:tcPr>
          <w:p>
            <w:pPr>
              <w:spacing w:after="40" w:before="40" w:line="288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19"/>
              </w:rPr>
              <w:t>D01</w:t>
            </w:r>
          </w:p>
        </w:tc>
        <w:tc>
          <w:tcPr>
            <w:tcW w:type="dxa" w:w="1474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sz w:val="19"/>
              </w:rPr>
              <w:t>接口健壮性</w:t>
            </w:r>
          </w:p>
        </w:tc>
        <w:tc>
          <w:tcPr>
            <w:tcW w:type="dxa" w:w="1020"/>
          </w:tcPr>
          <w:p>
            <w:pPr>
              <w:spacing w:after="40" w:before="40" w:line="288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8A6D1D"/>
                <w:sz w:val="19"/>
              </w:rPr>
              <w:t>低</w:t>
            </w:r>
          </w:p>
        </w:tc>
        <w:tc>
          <w:tcPr>
            <w:tcW w:type="dxa" w:w="6236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sz w:val="19"/>
              </w:rPr>
              <w:t>分页参数类型错误时返回 HTTP 500 而非 400</w:t>
            </w:r>
          </w:p>
        </w:tc>
      </w:tr>
      <w:tr>
        <w:tc>
          <w:tcPr>
            <w:tcW w:type="dxa" w:w="907"/>
          </w:tcPr>
          <w:p>
            <w:pPr>
              <w:spacing w:after="40" w:before="40" w:line="288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19"/>
              </w:rPr>
              <w:t>O01</w:t>
            </w:r>
          </w:p>
        </w:tc>
        <w:tc>
          <w:tcPr>
            <w:tcW w:type="dxa" w:w="1474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sz w:val="19"/>
              </w:rPr>
              <w:t>体验/提示文案</w:t>
            </w:r>
          </w:p>
        </w:tc>
        <w:tc>
          <w:tcPr>
            <w:tcW w:type="dxa" w:w="1020"/>
          </w:tcPr>
          <w:p>
            <w:pPr>
              <w:spacing w:after="40" w:before="40" w:line="288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8A6D1D"/>
                <w:sz w:val="19"/>
              </w:rPr>
              <w:t>观察项</w:t>
            </w:r>
          </w:p>
        </w:tc>
        <w:tc>
          <w:tcPr>
            <w:tcW w:type="dxa" w:w="6236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sz w:val="19"/>
              </w:rPr>
              <w:t>后端不可用时直接显示英文技术提示</w:t>
            </w:r>
          </w:p>
        </w:tc>
      </w:tr>
      <w:tr>
        <w:tc>
          <w:tcPr>
            <w:tcW w:type="dxa" w:w="907"/>
          </w:tcPr>
          <w:p>
            <w:pPr>
              <w:spacing w:after="40" w:before="40" w:line="288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19"/>
              </w:rPr>
              <w:t>O02</w:t>
            </w:r>
          </w:p>
        </w:tc>
        <w:tc>
          <w:tcPr>
            <w:tcW w:type="dxa" w:w="1474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sz w:val="19"/>
              </w:rPr>
              <w:t>部署配置风险</w:t>
            </w:r>
          </w:p>
        </w:tc>
        <w:tc>
          <w:tcPr>
            <w:tcW w:type="dxa" w:w="1020"/>
          </w:tcPr>
          <w:p>
            <w:pPr>
              <w:spacing w:after="40" w:before="40" w:line="288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C0392B"/>
                <w:sz w:val="19"/>
              </w:rPr>
              <w:t>中</w:t>
            </w:r>
          </w:p>
        </w:tc>
        <w:tc>
          <w:tcPr>
            <w:tcW w:type="dxa" w:w="6236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sz w:val="19"/>
              </w:rPr>
              <w:t>跨域允许任意来源且允许携带凭据</w:t>
            </w:r>
          </w:p>
        </w:tc>
      </w:tr>
      <w:tr>
        <w:tc>
          <w:tcPr>
            <w:tcW w:type="dxa" w:w="907"/>
          </w:tcPr>
          <w:p>
            <w:pPr>
              <w:spacing w:after="40" w:before="40" w:line="288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19"/>
              </w:rPr>
              <w:t>O03</w:t>
            </w:r>
          </w:p>
        </w:tc>
        <w:tc>
          <w:tcPr>
            <w:tcW w:type="dxa" w:w="1474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sz w:val="19"/>
              </w:rPr>
              <w:t>性能优化</w:t>
            </w:r>
          </w:p>
        </w:tc>
        <w:tc>
          <w:tcPr>
            <w:tcW w:type="dxa" w:w="1020"/>
          </w:tcPr>
          <w:p>
            <w:pPr>
              <w:spacing w:after="40" w:before="40" w:line="288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8A6D1D"/>
                <w:sz w:val="19"/>
              </w:rPr>
              <w:t>低</w:t>
            </w:r>
          </w:p>
        </w:tc>
        <w:tc>
          <w:tcPr>
            <w:tcW w:type="dxa" w:w="6236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sz w:val="19"/>
              </w:rPr>
              <w:t>单个页面 chunk 超过 500 kB 构建告警</w:t>
            </w:r>
          </w:p>
        </w:tc>
      </w:tr>
    </w:tbl>
    <w:p>
      <w:pPr>
        <w:spacing w:after="40" w:line="324" w:lineRule="auto"/>
      </w:pPr>
      <w:r>
        <w:rPr>
          <w:rFonts w:ascii="Microsoft YaHei" w:hAnsi="Microsoft YaHei" w:eastAsia="Microsoft YaHei" w:cs="Microsoft YaHei"/>
          <w:b/>
          <w:color w:val="0F766E"/>
          <w:sz w:val="20"/>
        </w:rPr>
        <w:t>D01 分页参数类型错误时返回 HTTP 500 而非 400（严重度：低）</w:t>
      </w:r>
    </w:p>
    <w:p>
      <w:pPr>
        <w:spacing w:after="40" w:line="324" w:lineRule="auto"/>
      </w:pPr>
      <w:r>
        <w:rPr>
          <w:rFonts w:ascii="Microsoft YaHei" w:hAnsi="Microsoft YaHei" w:eastAsia="Microsoft YaHei" w:cs="Microsoft YaHei"/>
          <w:b/>
          <w:color w:val="0F766E"/>
          <w:sz w:val="19"/>
        </w:rPr>
        <w:t>现象：</w:t>
      </w:r>
      <w:r>
        <w:rPr>
          <w:rFonts w:ascii="Microsoft YaHei" w:hAnsi="Microsoft YaHei" w:eastAsia="Microsoft YaHei" w:cs="Microsoft YaHei"/>
          <w:sz w:val="19"/>
        </w:rPr>
        <w:t>用例 NFT-09：GET /api/meters?pageSize=abc 返回 HTTP 500（INTERNAL_ERROR）。同组的 pageSize=0、pageSize=9999 已正确返回 400（BAD_REQUEST）。该路径前端界面不会产生（前端始终发送数字），属于接口健壮性与错误码一致性问题。</w:t>
      </w:r>
    </w:p>
    <w:p>
      <w:pPr>
        <w:spacing w:after="160" w:line="324" w:lineRule="auto"/>
      </w:pPr>
      <w:r>
        <w:rPr>
          <w:rFonts w:ascii="Microsoft YaHei" w:hAnsi="Microsoft YaHei" w:eastAsia="Microsoft YaHei" w:cs="Microsoft YaHei"/>
          <w:b/>
          <w:color w:val="0F766E"/>
          <w:sz w:val="19"/>
        </w:rPr>
        <w:t>建议：</w:t>
      </w:r>
      <w:r>
        <w:rPr>
          <w:rFonts w:ascii="Microsoft YaHei" w:hAnsi="Microsoft YaHei" w:eastAsia="Microsoft YaHei" w:cs="Microsoft YaHei"/>
          <w:sz w:val="19"/>
        </w:rPr>
        <w:t>在 GlobalExceptionHandler 中补充 MethodArgumentTypeMismatchException 处理，统一返回 400 BAD_REQUEST。</w:t>
      </w:r>
    </w:p>
    <w:p>
      <w:pPr>
        <w:spacing w:after="40" w:line="324" w:lineRule="auto"/>
      </w:pPr>
      <w:r>
        <w:rPr>
          <w:rFonts w:ascii="Microsoft YaHei" w:hAnsi="Microsoft YaHei" w:eastAsia="Microsoft YaHei" w:cs="Microsoft YaHei"/>
          <w:b/>
          <w:color w:val="0F766E"/>
          <w:sz w:val="20"/>
        </w:rPr>
        <w:t>O01 后端不可用时直接显示英文技术提示（严重度：观察项）</w:t>
      </w:r>
    </w:p>
    <w:p>
      <w:pPr>
        <w:spacing w:after="40" w:line="324" w:lineRule="auto"/>
      </w:pPr>
      <w:r>
        <w:rPr>
          <w:rFonts w:ascii="Microsoft YaHei" w:hAnsi="Microsoft YaHei" w:eastAsia="Microsoft YaHei" w:cs="Microsoft YaHei"/>
          <w:b/>
          <w:color w:val="0F766E"/>
          <w:sz w:val="19"/>
        </w:rPr>
        <w:t>现象：</w:t>
      </w:r>
      <w:r>
        <w:rPr>
          <w:rFonts w:ascii="Microsoft YaHei" w:hAnsi="Microsoft YaHei" w:eastAsia="Microsoft YaHei" w:cs="Microsoft YaHei"/>
          <w:sz w:val="19"/>
        </w:rPr>
        <w:t>用例 NFT-16：停掉后端后页面错误条显示“Request failed with status code 502”，未转换为中文友好提示；重试机制本身工作正常。</w:t>
      </w:r>
    </w:p>
    <w:p>
      <w:pPr>
        <w:spacing w:after="160" w:line="324" w:lineRule="auto"/>
      </w:pPr>
      <w:r>
        <w:rPr>
          <w:rFonts w:ascii="Microsoft YaHei" w:hAnsi="Microsoft YaHei" w:eastAsia="Microsoft YaHei" w:cs="Microsoft YaHei"/>
          <w:b/>
          <w:color w:val="0F766E"/>
          <w:sz w:val="19"/>
        </w:rPr>
        <w:t>建议：</w:t>
      </w:r>
      <w:r>
        <w:rPr>
          <w:rFonts w:ascii="Microsoft YaHei" w:hAnsi="Microsoft YaHei" w:eastAsia="Microsoft YaHei" w:cs="Microsoft YaHei"/>
          <w:sz w:val="19"/>
        </w:rPr>
        <w:t>在 axios 响应拦截中对 502/504/网络错误给出中文提示，例如“服务暂时不可用，请稍后重试”。</w:t>
      </w:r>
    </w:p>
    <w:p>
      <w:pPr>
        <w:spacing w:after="40" w:line="324" w:lineRule="auto"/>
      </w:pPr>
      <w:r>
        <w:rPr>
          <w:rFonts w:ascii="Microsoft YaHei" w:hAnsi="Microsoft YaHei" w:eastAsia="Microsoft YaHei" w:cs="Microsoft YaHei"/>
          <w:b/>
          <w:color w:val="0F766E"/>
          <w:sz w:val="20"/>
        </w:rPr>
        <w:t>O02 跨域允许任意来源且允许携带凭据（严重度：中）</w:t>
      </w:r>
    </w:p>
    <w:p>
      <w:pPr>
        <w:spacing w:after="40" w:line="324" w:lineRule="auto"/>
      </w:pPr>
      <w:r>
        <w:rPr>
          <w:rFonts w:ascii="Microsoft YaHei" w:hAnsi="Microsoft YaHei" w:eastAsia="Microsoft YaHei" w:cs="Microsoft YaHei"/>
          <w:b/>
          <w:color w:val="0F766E"/>
          <w:sz w:val="19"/>
        </w:rPr>
        <w:t>现象：</w:t>
      </w:r>
      <w:r>
        <w:rPr>
          <w:rFonts w:ascii="Microsoft YaHei" w:hAnsi="Microsoft YaHei" w:eastAsia="Microsoft YaHei" w:cs="Microsoft YaHei"/>
          <w:sz w:val="19"/>
        </w:rPr>
        <w:t>用例 NFT-12：预检响应 Access-Control-Allow-Origin 回显任意 Origin，Access-Control-Allow-Credentials=true（后端 SecurityConfig 使用 allowedOriginPatterns("*")）。本地演示可接受，公开部署会放大 CSRF/凭据泄露面。</w:t>
      </w:r>
    </w:p>
    <w:p>
      <w:pPr>
        <w:spacing w:after="160" w:line="324" w:lineRule="auto"/>
      </w:pPr>
      <w:r>
        <w:rPr>
          <w:rFonts w:ascii="Microsoft YaHei" w:hAnsi="Microsoft YaHei" w:eastAsia="Microsoft YaHei" w:cs="Microsoft YaHei"/>
          <w:b/>
          <w:color w:val="0F766E"/>
          <w:sz w:val="19"/>
        </w:rPr>
        <w:t>建议：</w:t>
      </w:r>
      <w:r>
        <w:rPr>
          <w:rFonts w:ascii="Microsoft YaHei" w:hAnsi="Microsoft YaHei" w:eastAsia="Microsoft YaHei" w:cs="Microsoft YaHei"/>
          <w:sz w:val="19"/>
        </w:rPr>
        <w:t>部署前把允许来源收敛为固定域名白名单，并复核是否需要携带凭据。</w:t>
      </w:r>
    </w:p>
    <w:p>
      <w:pPr>
        <w:spacing w:after="40" w:line="324" w:lineRule="auto"/>
      </w:pPr>
      <w:r>
        <w:rPr>
          <w:rFonts w:ascii="Microsoft YaHei" w:hAnsi="Microsoft YaHei" w:eastAsia="Microsoft YaHei" w:cs="Microsoft YaHei"/>
          <w:b/>
          <w:color w:val="0F766E"/>
          <w:sz w:val="20"/>
        </w:rPr>
        <w:t>O03 单个页面 chunk 超过 500 kB 构建告警（严重度：低）</w:t>
      </w:r>
    </w:p>
    <w:p>
      <w:pPr>
        <w:spacing w:after="40" w:line="324" w:lineRule="auto"/>
      </w:pPr>
      <w:r>
        <w:rPr>
          <w:rFonts w:ascii="Microsoft YaHei" w:hAnsi="Microsoft YaHei" w:eastAsia="Microsoft YaHei" w:cs="Microsoft YaHei"/>
          <w:b/>
          <w:color w:val="0F766E"/>
          <w:sz w:val="19"/>
        </w:rPr>
        <w:t>现象：</w:t>
      </w:r>
      <w:r>
        <w:rPr>
          <w:rFonts w:ascii="Microsoft YaHei" w:hAnsi="Microsoft YaHei" w:eastAsia="Microsoft YaHei" w:cs="Microsoft YaHei"/>
          <w:sz w:val="19"/>
        </w:rPr>
        <w:t>用例 NFT-05：npm run build 成功，产物 26 个文件共 1.48 MB，其中 DashboardView 相关 chunk 约 523 kB，触发 Vite 大 chunk 告警（ECharts 与 Element Plus 体积占主因）。</w:t>
      </w:r>
    </w:p>
    <w:p>
      <w:pPr>
        <w:spacing w:after="160" w:line="324" w:lineRule="auto"/>
      </w:pPr>
      <w:r>
        <w:rPr>
          <w:rFonts w:ascii="Microsoft YaHei" w:hAnsi="Microsoft YaHei" w:eastAsia="Microsoft YaHei" w:cs="Microsoft YaHei"/>
          <w:b/>
          <w:color w:val="0F766E"/>
          <w:sz w:val="19"/>
        </w:rPr>
        <w:t>建议：</w:t>
      </w:r>
      <w:r>
        <w:rPr>
          <w:rFonts w:ascii="Microsoft YaHei" w:hAnsi="Microsoft YaHei" w:eastAsia="Microsoft YaHei" w:cs="Microsoft YaHei"/>
          <w:sz w:val="19"/>
        </w:rPr>
        <w:t>按需引入 ECharts 图表类型、拆分 vendors chunk；首屏不受影响，属后续优化项。</w:t>
      </w:r>
    </w:p>
    <w:p>
      <w:pPr>
        <w:pStyle w:val="Heading1"/>
        <w:spacing w:before="280" w:after="120"/>
      </w:pPr>
      <w:r>
        <w:rPr>
          <w:rFonts w:ascii="Microsoft YaHei" w:hAnsi="Microsoft YaHei" w:eastAsia="Microsoft YaHei" w:cs="Microsoft YaHei"/>
          <w:b/>
          <w:color w:val="0F766E"/>
          <w:sz w:val="32"/>
        </w:rPr>
        <w:t>八、测试结论与建议</w:t>
      </w:r>
    </w:p>
    <w:p>
      <w:pPr>
        <w:spacing w:after="120" w:line="324" w:lineRule="auto"/>
      </w:pPr>
      <w:r>
        <w:rPr>
          <w:rFonts w:ascii="Microsoft YaHei" w:hAnsi="Microsoft YaHei" w:eastAsia="Microsoft YaHei" w:cs="Microsoft YaHei"/>
          <w:sz w:val="21"/>
        </w:rPr>
        <w:t>性能方面，五类关键接口在本机单机环境下的 P95 均低于 100 ms，60 行账单明细渲染 365 ms，20 并发请求成功率 100%；开发服务器下登录页首屏可交互 0.5 s、登录到总览呈现约 1 s，性能满足本地演示要求。</w:t>
      </w:r>
    </w:p>
    <w:p>
      <w:pPr>
        <w:spacing w:after="120" w:line="324" w:lineRule="auto"/>
      </w:pPr>
      <w:r>
        <w:rPr>
          <w:rFonts w:ascii="Microsoft YaHei" w:hAnsi="Microsoft YaHei" w:eastAsia="Microsoft YaHei" w:cs="Microsoft YaHei"/>
          <w:sz w:val="21"/>
        </w:rPr>
        <w:t>安全方面，未认证、伪造令牌、篡改签名与自签 payload 均被 401 拒绝；居民、运营、财务、审计四类角色的越权读写全部被后端拦截；口令以 BCrypt 哈希落库、接口不回传口令字段、JWT 使用 HS512 且带有效期；改写浏览器本地角色不能提权。</w:t>
      </w:r>
    </w:p>
    <w:p>
      <w:pPr>
        <w:spacing w:after="120" w:line="324" w:lineRule="auto"/>
      </w:pPr>
      <w:r>
        <w:rPr>
          <w:rFonts w:ascii="Microsoft YaHei" w:hAnsi="Microsoft YaHei" w:eastAsia="Microsoft YaHei" w:cs="Microsoft YaHei"/>
          <w:sz w:val="21"/>
        </w:rPr>
        <w:t>兼容性、可靠性与易用性方面，三档桌面分辨率与移动端窄屏均无横向溢出，窄屏可正常通过抽屉导航操作；重复支付与重复生成账单均未产生重复记账或覆盖快照；后端中断时页面给出错误提示与重试入口，重启后既有令牌与业务数据完整保留；表单校验、键盘登录、空态文案与图标按钮无障碍标签均达到预期。</w:t>
      </w:r>
    </w:p>
    <w:p>
      <w:pPr>
        <w:pStyle w:val="ListNumber"/>
        <w:spacing w:after="80" w:line="324" w:lineRule="auto"/>
      </w:pPr>
      <w:r>
        <w:rPr>
          <w:rFonts w:ascii="Microsoft YaHei" w:hAnsi="Microsoft YaHei" w:eastAsia="Microsoft YaHei" w:cs="Microsoft YaHei"/>
          <w:sz w:val="20"/>
        </w:rPr>
        <w:t>修复 D01：为参数类型转换异常补充 400 处理，保证错误码与文档一致。</w:t>
      </w:r>
    </w:p>
    <w:p>
      <w:pPr>
        <w:pStyle w:val="ListNumber"/>
        <w:spacing w:after="80" w:line="324" w:lineRule="auto"/>
      </w:pPr>
      <w:r>
        <w:rPr>
          <w:rFonts w:ascii="Microsoft YaHei" w:hAnsi="Microsoft YaHei" w:eastAsia="Microsoft YaHei" w:cs="Microsoft YaHei"/>
          <w:sz w:val="20"/>
        </w:rPr>
        <w:t>部署前处理 O02：把跨域来源收敛为白名单，并复核凭据携带策略。</w:t>
      </w:r>
    </w:p>
    <w:p>
      <w:pPr>
        <w:pStyle w:val="ListNumber"/>
        <w:spacing w:after="80" w:line="324" w:lineRule="auto"/>
      </w:pPr>
      <w:r>
        <w:rPr>
          <w:rFonts w:ascii="Microsoft YaHei" w:hAnsi="Microsoft YaHei" w:eastAsia="Microsoft YaHei" w:cs="Microsoft YaHei"/>
          <w:sz w:val="20"/>
        </w:rPr>
        <w:t>优化 O01：统一后端不可用时的中文提示文案，避免直接暴露英文技术信息。</w:t>
      </w:r>
    </w:p>
    <w:p>
      <w:pPr>
        <w:pStyle w:val="ListNumber"/>
        <w:spacing w:after="80" w:line="324" w:lineRule="auto"/>
      </w:pPr>
      <w:r>
        <w:rPr>
          <w:rFonts w:ascii="Microsoft YaHei" w:hAnsi="Microsoft YaHei" w:eastAsia="Microsoft YaHei" w:cs="Microsoft YaHei"/>
          <w:sz w:val="20"/>
        </w:rPr>
        <w:t>按 O03 拆分大体积 chunk，或在演示环境接受该告警（不影响首屏可用性）。</w:t>
      </w:r>
    </w:p>
    <w:p>
      <w:pPr>
        <w:pStyle w:val="ListNumber"/>
        <w:spacing w:after="80" w:line="324" w:lineRule="auto"/>
      </w:pPr>
      <w:r>
        <w:rPr>
          <w:rFonts w:ascii="Microsoft YaHei" w:hAnsi="Microsoft YaHei" w:eastAsia="Microsoft YaHei" w:cs="Microsoft YaHei"/>
          <w:sz w:val="20"/>
        </w:rPr>
        <w:t>若要在正式环境使用，还需补充并发容量测试（SQLite 单连接池不适合多实例并发写入）与 HTTPS、密钥托管等部署级验证。</w:t>
      </w:r>
    </w:p>
    <w:p>
      <w:pPr>
        <w:spacing w:after="80" w:line="324" w:lineRule="auto"/>
      </w:pPr>
      <w:r>
        <w:rPr>
          <w:rFonts w:ascii="Microsoft YaHei" w:hAnsi="Microsoft YaHei" w:eastAsia="Microsoft YaHei" w:cs="Microsoft YaHei"/>
          <w:color w:val="6B7A86"/>
          <w:sz w:val="18"/>
        </w:rPr>
        <w:t>附：本轮非功能测试脚本与实测数据保存在 .java-test 目录（run-nf-tests.mjs、nonfunctional-20261013/nf-test-results.json、evidence 证据页、screenshots 截图），可供复核。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 w:cs="Microsoft YaHei"/>
        <w:color w:val="6B7A86"/>
        <w:sz w:val="16"/>
      </w:rPr>
      <w:t xml:space="preserve">智水云 AI 水表收费管理系统非功能测试报告  |  第 </w:t>
    </w:r>
    <w:r>
      <w:rPr>
        <w:rFonts w:ascii="Microsoft YaHei" w:hAnsi="Microsoft YaHei" w:eastAsia="Microsoft YaHei" w:cs="Microsoft YaHei"/>
        <w:color w:val="6B7A86"/>
        <w:sz w:val="16"/>
      </w:rPr>
      <w:fldChar w:fldCharType="begin"/>
      <w:instrText xml:space="preserve"> PAGE </w:instrText>
      <w:fldChar w:fldCharType="end"/>
    </w:r>
    <w:r>
      <w:rPr>
        <w:rFonts w:ascii="Microsoft YaHei" w:hAnsi="Microsoft YaHei" w:eastAsia="Microsoft YaHei" w:cs="Microsoft YaHei"/>
        <w:color w:val="6B7A86"/>
        <w:sz w:val="16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2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