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C498" wp14:editId="5D7CEBB4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AC6E3A7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</w:t>
                            </w:r>
                            <w:r w:rsidR="0088731F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" fillcolor="white [3201]" stroked="f" strokeweight=".5pt">
                <v:textbox>
                  <w:txbxContent>
                    <w:p w14:paraId="1F6EF0FF" w14:textId="5AC6E3A7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</w:t>
                      </w:r>
                      <w:r w:rsidR="0088731F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0F03E9EC" w:rsidR="00D615A5" w:rsidRPr="00D615A5" w:rsidRDefault="006552B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박혜성</w:t>
            </w: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487B6696" w:rsidR="00D615A5" w:rsidRPr="00D615A5" w:rsidRDefault="006552B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의예과</w:t>
            </w: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411B6AF3" w:rsidR="00D615A5" w:rsidRPr="00D615A5" w:rsidRDefault="006552B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2023-16085</w:t>
            </w: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08C9A437" w:rsidR="00D615A5" w:rsidRPr="00D615A5" w:rsidRDefault="006552B7" w:rsidP="00835E6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심리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학과 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박혜성</w:t>
            </w:r>
            <w:r w:rsidR="0035123B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  </w:t>
            </w:r>
            <w:r w:rsidR="00DB0CDE">
              <w:rPr>
                <w:noProof/>
              </w:rPr>
              <w:drawing>
                <wp:inline distT="0" distB="0" distL="0" distR="0" wp14:anchorId="3AAD90FF" wp14:editId="0FDEF864">
                  <wp:extent cx="1633870" cy="400050"/>
                  <wp:effectExtent l="0" t="0" r="4445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493" cy="40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123B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(서 명)</w:t>
            </w:r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0D673B0B" w:rsidR="00D615A5" w:rsidRPr="006552B7" w:rsidRDefault="006552B7" w:rsidP="006552B7">
            <w:pPr>
              <w:jc w:val="center"/>
              <w:rPr>
                <w:b/>
                <w:sz w:val="28"/>
                <w:szCs w:val="28"/>
              </w:rPr>
            </w:pPr>
            <w:r w:rsidRPr="006552B7">
              <w:rPr>
                <w:rFonts w:hint="eastAsia"/>
                <w:b/>
                <w:sz w:val="28"/>
                <w:szCs w:val="28"/>
              </w:rPr>
              <w:t xml:space="preserve">Transdiagnostic dimensional </w:t>
            </w:r>
            <w:r w:rsidRPr="006552B7">
              <w:rPr>
                <w:b/>
                <w:sz w:val="28"/>
                <w:szCs w:val="28"/>
              </w:rPr>
              <w:t xml:space="preserve">classification of psychiatric disease using resting-state EEG and deep neural network </w:t>
            </w: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705C4831" w14:textId="77777777" w:rsidR="006552B7" w:rsidRPr="006552B7" w:rsidRDefault="006552B7" w:rsidP="00805A5D">
      <w:pPr>
        <w:numPr>
          <w:ilvl w:val="0"/>
          <w:numId w:val="9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lastRenderedPageBreak/>
        <w:t>연구의 배경 및 중요성</w:t>
      </w:r>
    </w:p>
    <w:p w14:paraId="1F4A7717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정신질환의 전통적인 진단체계 </w:t>
      </w:r>
    </w:p>
    <w:p w14:paraId="06C7676E" w14:textId="77777777" w:rsidR="006552B7" w:rsidRPr="006552B7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정신질환의 진단은 일정 기간 이상 기능 저하를 동반하는 특정 증상군의 존부를 평가하여 이루어져왔다.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이러한 정신질환에 대한 범주적 접근(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categorical approach)은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보편적으로 이용되는 정신질환 진단체계인 DSM-5와 ICD-10에도 반영되어 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DSM-5와 ICD-10은 개별적인 정신질환마다 존재할 수 있는 증상들 중에서 일정 개수 이상 만족시키면 해당 질환으로 진단되는 방식을 따르기 때문이다.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이러한 범주적 접근법은 다양성을 보이는 개별 질환들을 유사 증상군으로 분류함으로써,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정신질환에 대한 표준화되고 체계화된 접근을 가능하게 하여 진단의 편의성을 제공한다는 장점이 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2AD791AC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정신질환에 대한 범주적 진단의 한계 </w:t>
      </w:r>
    </w:p>
    <w:p w14:paraId="2AFC3B7E" w14:textId="6FD6D8F1" w:rsidR="006552B7" w:rsidRPr="006552B7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그러나 이렇게 증상의 유무에 따라 진단 기준 충족 여부를 이분법적(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all or none)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으로 평가하는 방식으로 인해,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정신질환 고위험군 등 역치 이하의 증상이 있는 환자들을 초기에 발굴하지 못하는 한계가 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또한,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 정신질환은 생체 표지자(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biomarker)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가 아닌 겉으로 드러나는 증상 위주의 현상적 진단에 기반한다는 특성이 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그래서 같은 질환군 내에서도 증상 및 생물학적 이질성(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heterogeneity)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을 지니는데</w:t>
      </w:r>
      <w:r w:rsidR="00DB0CDE">
        <w:rPr>
          <w:rStyle w:val="ae"/>
          <w:rFonts w:ascii="맑은 고딕" w:eastAsia="맑은 고딕" w:hAnsi="맑은 고딕" w:cs="Times New Roman"/>
          <w:sz w:val="20"/>
          <w:szCs w:val="20"/>
          <w14:ligatures w14:val="none"/>
        </w:rPr>
        <w:endnoteReference w:id="1"/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정신질환에 대한 범주적 진단으로는 단일한 질환군 내에 존재하는 생물학적,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병리학적으로 별개의 집단인 하위군(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subtype)을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포착할 수 없다. 이는 환자 개인별 맞춤형 진단을 통해 최적화된 치료를 제공하는 정밀의료(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precision medicine)에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장애가 된다.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나아가 서로 다른 질환군 간에도 증상 및 생물학적 동질성(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homogenity)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 존재할 수 있는데,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이는 특정 질환에 대한 예후를 예측하고 치료 전략 수립을 어렵게 한다.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2983199B" w14:textId="7935EDA0" w:rsidR="006552B7" w:rsidRPr="006552B7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이러한 범주적 진단의 한계는 같은 진단을 받은 환자 간에 약물에 대한 치료반응이 매우 상이하다는 현상에서도 드러난다. 즉 정신질환의 경우 일부 환자는 동일한 약물에 대해 불충분한 치료반응을 보인다. 구체적으로,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조현병 환자의 경우 대략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50%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의 환자들이 항정신병제(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antipsychotics)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에 충분한 치료 반응을 보이지 않고, 이중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60%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는 항정신병제에 거의 반응하지 않아 치료저항성 조현병(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treatment resistant schizophrenia)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로 분류된다</w:t>
      </w:r>
      <w:r w:rsidR="00DB0CDE">
        <w:rPr>
          <w:rStyle w:val="ae"/>
          <w:rFonts w:ascii="맑은 고딕" w:eastAsia="맑은 고딕" w:hAnsi="맑은 고딕" w:cs="Times New Roman"/>
          <w:sz w:val="20"/>
          <w:szCs w:val="20"/>
          <w14:ligatures w14:val="none"/>
        </w:rPr>
        <w:endnoteReference w:id="2"/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주요우울장애(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MDD)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의 경우에도 50%에 이르는 환자들이 항우울제(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antidepressant)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에 저항성을 보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인다</w:t>
      </w:r>
      <w:r w:rsidR="00DB0CDE">
        <w:rPr>
          <w:rStyle w:val="ae"/>
          <w:rFonts w:ascii="맑은 고딕" w:eastAsia="맑은 고딕" w:hAnsi="맑은 고딕" w:cs="Times New Roman"/>
          <w:sz w:val="20"/>
          <w:szCs w:val="20"/>
          <w14:ligatures w14:val="none"/>
        </w:rPr>
        <w:endnoteReference w:id="3"/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257A1811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정신질환에 대한 초진단적 차원 접근 </w:t>
      </w:r>
    </w:p>
    <w:p w14:paraId="57FA05F6" w14:textId="77777777" w:rsidR="006552B7" w:rsidRPr="006552B7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이와 같은 한계를 극복하기 위해 정신질환에 대한 초진단적 차원 접근(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transdiagnostic dimension approach)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등장하였다.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초진단적 차원 접근은 기존의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DSM-5, ICD-10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등의 진단명에 얽매이지 않고,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증상의 유뮤에 따라 질환을 이분법적으로 접근하는 방식을 벗어나는 것으로서,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정신질환을 생물학적, 행동적 특성을 차원으로 삼은 스펙트럼 상의 연속체로 바라보는 시도이다.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미국 국립정신건강연구소(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NIMH)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의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Research Domain Criteria (RDoC)가 대표적인 사례로,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증상이라는 행동학적 특성과 함께 유전자 염기 서열,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FMRI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등의 뇌영상 자료,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뇌파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등의 전기생리학적 자료 등 생물학적 표지자(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>biomarker)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들을 통해 정신질환을 접근한다.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</w:p>
    <w:p w14:paraId="2DC39AA4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 xml:space="preserve">초진단적 차원 접근으로서 뇌파가 가지는 잠재성과 관련 선행연구  </w:t>
      </w:r>
    </w:p>
    <w:p w14:paraId="44104B1D" w14:textId="528C858C" w:rsidR="006552B7" w:rsidRPr="006552B7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다양한 생물학적 표지자 중 뇌파(EEG)는, 고도의 시간적 해상도를 가져 매우 짧은 시간동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lastRenderedPageBreak/>
        <w:t>안 일어나는 뇌활동의 변화를 포착할 수 있다는 점에서 초진단적 차원 접근을 위한 생물학적 지표로서 잠재성을 지니며,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그 특성상 비침습적이고 경제적이여서 환자에게 부담이 적다는 장점도 있다.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 xml:space="preserve">선행연구에 따르면, 뇌파 데이터로 학습한 머신러닝이 조현병과 정상 대조군을 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>88.24%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에 달하는 정확도로 예측하였고</w:t>
      </w:r>
      <w:r w:rsidR="00DB0CDE">
        <w:rPr>
          <w:rStyle w:val="ae"/>
          <w:rFonts w:ascii="맑은 고딕" w:eastAsia="맑은 고딕" w:hAnsi="맑은 고딕" w:cs="Times New Roman"/>
          <w:bCs/>
          <w:sz w:val="20"/>
          <w:szCs w:val="20"/>
          <w14:ligatures w14:val="none"/>
        </w:rPr>
        <w:endnoteReference w:id="4"/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,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뇌파의 불일치 음전위(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mismatch negativity)가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정신증 고위험군에서 초발 정신증 이행을 예측하는 지표로 사용되기도 한다</w:t>
      </w:r>
      <w:r w:rsidR="00DB0CDE">
        <w:rPr>
          <w:rStyle w:val="ae"/>
          <w:rFonts w:ascii="맑은 고딕" w:eastAsia="맑은 고딕" w:hAnsi="맑은 고딕" w:cs="Times New Roman"/>
          <w:bCs/>
          <w:sz w:val="20"/>
          <w:szCs w:val="20"/>
          <w14:ligatures w14:val="none"/>
        </w:rPr>
        <w:endnoteReference w:id="5"/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. 휴지기 뇌파는 주요우울장애(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MDD)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환자의 경두개자극술(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r-TMS)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치료, 강박증(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OCD)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환자의 항우울제 치료</w:t>
      </w:r>
      <w:r w:rsidR="00DB0CDE">
        <w:rPr>
          <w:rStyle w:val="ae"/>
          <w:rFonts w:ascii="맑은 고딕" w:eastAsia="맑은 고딕" w:hAnsi="맑은 고딕" w:cs="Times New Roman"/>
          <w:bCs/>
          <w:sz w:val="20"/>
          <w:szCs w:val="20"/>
          <w14:ligatures w14:val="none"/>
        </w:rPr>
        <w:endnoteReference w:id="6"/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,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조현병 환자의 전기경련치료</w:t>
      </w:r>
      <w:r w:rsidR="00DB0CDE">
        <w:rPr>
          <w:rStyle w:val="ae"/>
          <w:rFonts w:ascii="맑은 고딕" w:eastAsia="맑은 고딕" w:hAnsi="맑은 고딕" w:cs="Times New Roman"/>
          <w:bCs/>
          <w:sz w:val="20"/>
          <w:szCs w:val="20"/>
          <w14:ligatures w14:val="none"/>
        </w:rPr>
        <w:endnoteReference w:id="7"/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 xml:space="preserve">에 대한 치료 반응을 예측하는 징표로 이용되기도 한다. </w:t>
      </w:r>
    </w:p>
    <w:p w14:paraId="401E6097" w14:textId="4AFEDF77" w:rsidR="006552B7" w:rsidRPr="006552B7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그러나 이러한 선행연구는 모두 기존의 범주적 진단체계에 기반한 특정 질환을 중심으로 연구한 것이므로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,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진단명과 무관한 초진단적 차원 접근을 하지 못하였다는 한계가 있다.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물론 차원적 접근을 위한 생체 표지자를 연구한 일부 연구가 존재하나,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후술할 선행연구를 제외하고는 대부분 뇌파에 비해 시간적 해상도가 낮은 뇌영상 데이터를 기반으로 이루어졌거나 적은 환자수를 대상으로 하여 연구가 이루어졌다.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한편, 본 연구와 동일한 데이터로 차원적 접근을 시도한 선행 연구</w:t>
      </w:r>
      <w:r w:rsidR="00DB0CDE">
        <w:rPr>
          <w:rStyle w:val="ae"/>
          <w:rFonts w:ascii="맑은 고딕" w:eastAsia="맑은 고딕" w:hAnsi="맑은 고딕" w:cs="Times New Roman"/>
          <w:bCs/>
          <w:sz w:val="20"/>
          <w:szCs w:val="20"/>
          <w14:ligatures w14:val="none"/>
        </w:rPr>
        <w:endnoteReference w:id="8"/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가 있다.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 xml:space="preserve">해당 연구는 차원적 접근을 시도하여 발견한 새로운 하위 군집들 간에 뇌 영역별 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Resting-state Theta-phase Gamma Amplitude Coupling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차이가 있음을 발견하였다.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bCs/>
          <w:sz w:val="20"/>
          <w:szCs w:val="20"/>
          <w14:ligatures w14:val="none"/>
        </w:rPr>
        <w:t>이는 비교적 많은 데이터를 가지고 뇌파 기반의 차원적 접근의 타당성을 입증한 하나의 연구 사례라고 볼 수 있다.</w:t>
      </w:r>
      <w:r w:rsidRPr="006552B7">
        <w:rPr>
          <w:rFonts w:ascii="맑은 고딕" w:eastAsia="맑은 고딕" w:hAnsi="맑은 고딕" w:cs="Times New Roman"/>
          <w:bCs/>
          <w:sz w:val="20"/>
          <w:szCs w:val="20"/>
          <w14:ligatures w14:val="none"/>
        </w:rPr>
        <w:t xml:space="preserve"> </w:t>
      </w:r>
    </w:p>
    <w:p w14:paraId="686C5E84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연구 목적 및 가설  </w:t>
      </w:r>
    </w:p>
    <w:p w14:paraId="52A7E14A" w14:textId="77777777" w:rsidR="00E94776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본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연구는 정신과적 임상 증상 심각도를 기준으로 하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여 기존의 범주적 접근을 넘어선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초진단적 차원 접근을 시도하고, 뇌파(EEG)가 이러한 차원적 분류를 위한 생물학적 표지(biomarker)로서 활용될 수 있는지 검증하는 데 목적이 있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이를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위해, 임상 증상 심각도를 차원(dimension)으로 설정하여 군집 분석(cluster analysis)을 수행함으로써 환자들을 이질적인 하위 군집(subgroups)으로 분류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하고,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딥러닝 모델을 활용해 뇌파 데이터만으로 실제 군집을 예측하도록 학습을 수행하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고자 한다.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그리고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이러한 과정을 통해 뇌파 기반 딥러닝 모델이 임상적 차원에 근거한 군집을 어느 정도의 정확도로 예측할 수 있는지를 평가하고자 한다.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본 연구의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가설은 아래와 같다.</w:t>
      </w:r>
      <w:r w:rsidR="00E94776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381F3018" w14:textId="296358A8" w:rsidR="00E94776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(1)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임상적 증상 심각도를 차원으로 설정한 군집 분석을 통해,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기존의 범주적 진단명과 무관한 새로운 군집들로 환자들이 분류될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것이다.</w:t>
      </w:r>
      <w:r w:rsidR="00E94776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2072C9BE" w14:textId="1F84D167" w:rsidR="006552B7" w:rsidRPr="006552B7" w:rsidRDefault="006552B7" w:rsidP="00805A5D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(2) 뇌파 데이터만으로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도 딥러닝 모델이 임상적 차원에 근거한 군집을 유의미한 정확도로 예측할 것이다.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6EB2450E" w14:textId="77777777" w:rsidR="006552B7" w:rsidRPr="006552B7" w:rsidRDefault="006552B7" w:rsidP="00805A5D">
      <w:p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</w:p>
    <w:p w14:paraId="48100B6B" w14:textId="77777777" w:rsidR="006552B7" w:rsidRPr="006552B7" w:rsidRDefault="006552B7" w:rsidP="00805A5D">
      <w:pPr>
        <w:numPr>
          <w:ilvl w:val="0"/>
          <w:numId w:val="9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연구 방법 및 결과 </w:t>
      </w:r>
    </w:p>
    <w:p w14:paraId="2A92DFEA" w14:textId="77777777" w:rsidR="006552B7" w:rsidRPr="006552B7" w:rsidRDefault="006552B7" w:rsidP="00805A5D">
      <w:pPr>
        <w:numPr>
          <w:ilvl w:val="0"/>
          <w:numId w:val="11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연구 방법 </w:t>
      </w:r>
    </w:p>
    <w:p w14:paraId="5FA4D7E4" w14:textId="0B7B0FF3" w:rsidR="006552B7" w:rsidRPr="006552B7" w:rsidRDefault="006552B7" w:rsidP="00805A5D">
      <w:pPr>
        <w:numPr>
          <w:ilvl w:val="0"/>
          <w:numId w:val="12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분석 대상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데이터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 </w:t>
      </w:r>
    </w:p>
    <w:p w14:paraId="51FB3565" w14:textId="3F047744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총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2189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명의 서울대병원 내원 환자들 각각에 대한 휴지기 뇌파(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rs-EEG)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데이터와 임상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lastRenderedPageBreak/>
        <w:t>데이터를 확보하였다. 휴지기 뇌파(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rs-EEG)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데이터는 의자에 앉아서 눈을 감은 상태로 약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20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분간 측정되었으며,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국제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10-20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시스템(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international 10-20 system)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에 따라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21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개의 전극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(Cz, FPz, Fz, Oz, Pz, T4, O2, T6, C4, P4, Fp2, F8, F4, T3, O1, T5, C3, P3, Fp1, F7, F3)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을 배치되었다. 또한 뇌파(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rs-EEG)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데이터는 전처리가 되지 않은 원본 데이터(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raw data)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와 전처리가 완료된 데이터(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preprocessed data)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를 확보하였다.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원본 데이터(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raw data)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의 경우에는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exploratory data analysis(EDA)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를 수행하여 데이터가 손상된 것으로 추정되거나 노이즈가 매우 심한 것으로 판단되는 총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44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개의 데이터를 분석에서 제외하였다.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2D3C4F4A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임상 데이터는 환자들의 연령과 성별 등 인구통계학적 정보와 더불어,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ICD-10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기반 진단명과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15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개의 정신과적 증상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–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depression, mania, hypomania, panic, social phobia, obsessive-compulsive (OC) symptoms, posttraumatic stress disorder (PTSD), delusions, hallucinations, attenuated psychosis symptoms, negative symptoms, anxiety, somatic symptoms, pain, and insomnia –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을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0점(증상 없음)부터 3점(심각)까지의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척도로 평가한 데이터로 이루어져있다.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모든 데이터는 서울대병원 정신건강의학과와 연계한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IRB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승인을 통하여 확보하였다.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7DBA9D6D" w14:textId="77777777" w:rsidR="006552B7" w:rsidRPr="006552B7" w:rsidRDefault="006552B7" w:rsidP="00805A5D">
      <w:pPr>
        <w:numPr>
          <w:ilvl w:val="0"/>
          <w:numId w:val="12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군집화 분석(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clustering analysis)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과 군집별 통계적 분석(statiscal analysis) </w:t>
      </w:r>
    </w:p>
    <w:p w14:paraId="7B364CBD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1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7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개의 증상 심각도를 평가한 임상데이터를 가지고 환자들을 효과적으로 군집화하기 위한 최적의 방법을 탐색하였다.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우선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17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개의 증상을 차원으로 삼아 군집화 하기에는 차원이 너무 높다는 것을 고려하여,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군집화 분석 전에 차원 축소를 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차원 축소 방법으로는 데이터 분포의 분산적 경향성을 보존하는 주성분 분석(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PCA),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데이터의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내재적 기하 구조를 반영하기 위해 지오데식 거리(geodesic distance)를 보존하는 Isomap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을 각각 시도해보았으며,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차원 축소가 원본 데이터의 구조적 특성을 잘 보존하였는지 검토하기 위해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PCA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에서는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explainable variance, Isomap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에서는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residual variance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를 계산하였다.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6D2AEF76" w14:textId="62FF108A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각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차원 축소 기법 적용 후에는 K-means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방법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을 이용하여 군집화를 하였다. K-means는 K개의 초기 중심점을 설정하고, 각 데이터 포인트를 가장 가까운 중심점에 </w:t>
      </w:r>
      <w:r w:rsidR="00E94776">
        <w:rPr>
          <w:rFonts w:ascii="맑은 고딕" w:eastAsia="맑은 고딕" w:hAnsi="맑은 고딕" w:cs="Times New Roman"/>
          <w:sz w:val="20"/>
          <w:szCs w:val="20"/>
          <w14:ligatures w14:val="none"/>
        </w:rPr>
        <w:t>할당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하여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중심점을 갱신하는 과정을 반복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하는 방식으로 데이터들을 군집화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한다. 여기서 K는 군집의 개수를 의미하며, 본 연구에서는 최적의 군집 수를 확인하기 위해 2개부터 7개까지의 K 값을 모두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시도했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다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.</w:t>
      </w:r>
    </w:p>
    <w:p w14:paraId="23316500" w14:textId="7502CA84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군집화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성능 평가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를 위해서는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실루엣 점수(Silhouette Score)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를 이용하였다.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실루엣 점수는 데이터 포인트가 속한 군집 내의 평균 거리와 가장 인접한 다른 군집과의 평균 거리를 비교하여 계산되며, 전체 데이터에 대해 이를 평균한 값을 사용한다. 평균 실루엣 점수가 1에 가까울수록 군집 간 분리가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잘 되어있고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군집 내 응집도가 높아, 보다 우수한 군집화 성능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을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의미한다.</w:t>
      </w:r>
    </w:p>
    <w:p w14:paraId="435CE981" w14:textId="5EBD6459" w:rsidR="00E94776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그리고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각 군집(cluster)을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특징짓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는 </w:t>
      </w:r>
      <w:r w:rsidR="00E94776">
        <w:rPr>
          <w:rFonts w:ascii="맑은 고딕" w:eastAsia="맑은 고딕" w:hAnsi="맑은 고딕" w:cs="Times New Roman"/>
          <w:sz w:val="20"/>
          <w:szCs w:val="22"/>
          <w14:ligatures w14:val="none"/>
        </w:rPr>
        <w:t>증상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들을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규명하기 위해</w:t>
      </w:r>
      <w:r w:rsidR="00E94776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, Generalized Linear Model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기반의 로지스틱 회귀 분석을 하였다. 15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개의 정신과적 증상 심각도를 변수로 설정하여,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각 증상 변수들의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회귀계수(coefficient) 및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p-value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를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산출하여 군집을 유의하게 예측하는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증상들을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추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출하였다.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이러한 방식으로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특정 군집을 </w:t>
      </w:r>
      <w:r w:rsidR="00E94776">
        <w:rPr>
          <w:rFonts w:ascii="맑은 고딕" w:eastAsia="맑은 고딕" w:hAnsi="맑은 고딕" w:cs="Times New Roman"/>
          <w:sz w:val="20"/>
          <w:szCs w:val="22"/>
          <w14:ligatures w14:val="none"/>
        </w:rPr>
        <w:t>구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별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짓는 핵심 임상 증상이 무엇인지를 통계적으로 검증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하였다.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47"/>
        <w:gridCol w:w="1749"/>
        <w:gridCol w:w="2064"/>
        <w:gridCol w:w="2956"/>
      </w:tblGrid>
      <w:tr w:rsidR="00E94776" w:rsidRPr="006552B7" w14:paraId="13960757" w14:textId="77777777" w:rsidTr="00E94776">
        <w:tc>
          <w:tcPr>
            <w:tcW w:w="2247" w:type="dxa"/>
            <w:shd w:val="clear" w:color="auto" w:fill="E7E6E6"/>
            <w:vAlign w:val="center"/>
          </w:tcPr>
          <w:p w14:paraId="4773594D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D</w:t>
            </w:r>
            <w:r w:rsidRPr="006552B7">
              <w:rPr>
                <w:rFonts w:ascii="맑은 고딕" w:eastAsia="맑은 고딕" w:hAnsi="맑은 고딕" w:cs="Times New Roman"/>
              </w:rPr>
              <w:t xml:space="preserve">imension reduction </w:t>
            </w:r>
          </w:p>
        </w:tc>
        <w:tc>
          <w:tcPr>
            <w:tcW w:w="1749" w:type="dxa"/>
            <w:shd w:val="clear" w:color="auto" w:fill="E7E6E6"/>
            <w:vAlign w:val="center"/>
          </w:tcPr>
          <w:p w14:paraId="45D9F304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64" w:type="dxa"/>
            <w:shd w:val="clear" w:color="auto" w:fill="E7E6E6"/>
            <w:vAlign w:val="center"/>
          </w:tcPr>
          <w:p w14:paraId="2F35B12C" w14:textId="55B2C26F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/>
              </w:rPr>
              <w:t>Number of clusters(K)</w:t>
            </w:r>
          </w:p>
        </w:tc>
        <w:tc>
          <w:tcPr>
            <w:tcW w:w="2956" w:type="dxa"/>
            <w:shd w:val="clear" w:color="auto" w:fill="E7E6E6"/>
            <w:vAlign w:val="center"/>
          </w:tcPr>
          <w:p w14:paraId="39DAA26D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/>
              </w:rPr>
              <w:t>Silhouette Score</w:t>
            </w:r>
          </w:p>
        </w:tc>
      </w:tr>
      <w:tr w:rsidR="00E94776" w:rsidRPr="006552B7" w14:paraId="0B680A35" w14:textId="77777777" w:rsidTr="00E94776">
        <w:tc>
          <w:tcPr>
            <w:tcW w:w="2247" w:type="dxa"/>
            <w:vMerge w:val="restart"/>
            <w:vAlign w:val="center"/>
          </w:tcPr>
          <w:p w14:paraId="7DA462FA" w14:textId="77777777" w:rsidR="00E94776" w:rsidRPr="006552B7" w:rsidRDefault="00E94776" w:rsidP="00805A5D">
            <w:pPr>
              <w:ind w:firstLineChars="400" w:firstLine="800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I</w:t>
            </w:r>
            <w:r w:rsidRPr="006552B7">
              <w:rPr>
                <w:rFonts w:ascii="맑은 고딕" w:eastAsia="맑은 고딕" w:hAnsi="맑은 고딕" w:cs="Times New Roman"/>
              </w:rPr>
              <w:t>somap</w:t>
            </w:r>
          </w:p>
          <w:p w14:paraId="267610E0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lastRenderedPageBreak/>
              <w:t>(</w:t>
            </w:r>
            <w:r w:rsidRPr="006552B7">
              <w:rPr>
                <w:rFonts w:ascii="맑은 고딕" w:eastAsia="맑은 고딕" w:hAnsi="맑은 고딕" w:cs="Times New Roman"/>
              </w:rPr>
              <w:t>residual variance : 0.2169)</w:t>
            </w:r>
          </w:p>
        </w:tc>
        <w:tc>
          <w:tcPr>
            <w:tcW w:w="1749" w:type="dxa"/>
          </w:tcPr>
          <w:p w14:paraId="7C7C7670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64" w:type="dxa"/>
          </w:tcPr>
          <w:p w14:paraId="1A722530" w14:textId="554CC05C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K</w:t>
            </w:r>
            <w:r w:rsidRPr="006552B7">
              <w:rPr>
                <w:rFonts w:ascii="맑은 고딕" w:eastAsia="맑은 고딕" w:hAnsi="맑은 고딕" w:cs="Times New Roman"/>
              </w:rPr>
              <w:t xml:space="preserve"> = 2</w:t>
            </w:r>
          </w:p>
        </w:tc>
        <w:tc>
          <w:tcPr>
            <w:tcW w:w="2956" w:type="dxa"/>
          </w:tcPr>
          <w:p w14:paraId="280964AD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0</w:t>
            </w:r>
            <w:r w:rsidRPr="006552B7">
              <w:rPr>
                <w:rFonts w:ascii="맑은 고딕" w:eastAsia="맑은 고딕" w:hAnsi="맑은 고딕" w:cs="Times New Roman"/>
              </w:rPr>
              <w:t>.3876</w:t>
            </w:r>
          </w:p>
        </w:tc>
      </w:tr>
      <w:tr w:rsidR="00E94776" w:rsidRPr="006552B7" w14:paraId="4ED5D335" w14:textId="77777777" w:rsidTr="00E94776">
        <w:tc>
          <w:tcPr>
            <w:tcW w:w="2247" w:type="dxa"/>
            <w:vMerge/>
          </w:tcPr>
          <w:p w14:paraId="315C4010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749" w:type="dxa"/>
            <w:shd w:val="clear" w:color="auto" w:fill="AEAAAA"/>
          </w:tcPr>
          <w:p w14:paraId="0D2DD7A4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64" w:type="dxa"/>
            <w:shd w:val="clear" w:color="auto" w:fill="AEAAAA"/>
          </w:tcPr>
          <w:p w14:paraId="3B12711E" w14:textId="4DD8B1E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K</w:t>
            </w:r>
            <w:r w:rsidRPr="006552B7">
              <w:rPr>
                <w:rFonts w:ascii="맑은 고딕" w:eastAsia="맑은 고딕" w:hAnsi="맑은 고딕" w:cs="Times New Roman"/>
              </w:rPr>
              <w:t xml:space="preserve"> = 3</w:t>
            </w:r>
          </w:p>
        </w:tc>
        <w:tc>
          <w:tcPr>
            <w:tcW w:w="2956" w:type="dxa"/>
            <w:shd w:val="clear" w:color="auto" w:fill="AEAAAA"/>
          </w:tcPr>
          <w:p w14:paraId="4D8A546E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0</w:t>
            </w:r>
            <w:r w:rsidRPr="006552B7">
              <w:rPr>
                <w:rFonts w:ascii="맑은 고딕" w:eastAsia="맑은 고딕" w:hAnsi="맑은 고딕" w:cs="Times New Roman"/>
              </w:rPr>
              <w:t>.4475</w:t>
            </w:r>
          </w:p>
        </w:tc>
      </w:tr>
      <w:tr w:rsidR="00E94776" w:rsidRPr="006552B7" w14:paraId="18657177" w14:textId="77777777" w:rsidTr="00E94776">
        <w:tc>
          <w:tcPr>
            <w:tcW w:w="2247" w:type="dxa"/>
            <w:vMerge/>
          </w:tcPr>
          <w:p w14:paraId="7C146A86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749" w:type="dxa"/>
          </w:tcPr>
          <w:p w14:paraId="1D157FA5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64" w:type="dxa"/>
          </w:tcPr>
          <w:p w14:paraId="36478174" w14:textId="32B6778F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K</w:t>
            </w:r>
            <w:r w:rsidRPr="006552B7">
              <w:rPr>
                <w:rFonts w:ascii="맑은 고딕" w:eastAsia="맑은 고딕" w:hAnsi="맑은 고딕" w:cs="Times New Roman"/>
              </w:rPr>
              <w:t xml:space="preserve"> = 4</w:t>
            </w:r>
          </w:p>
        </w:tc>
        <w:tc>
          <w:tcPr>
            <w:tcW w:w="2956" w:type="dxa"/>
          </w:tcPr>
          <w:p w14:paraId="703E12D5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0</w:t>
            </w:r>
            <w:r w:rsidRPr="006552B7">
              <w:rPr>
                <w:rFonts w:ascii="맑은 고딕" w:eastAsia="맑은 고딕" w:hAnsi="맑은 고딕" w:cs="Times New Roman"/>
              </w:rPr>
              <w:t>.4261</w:t>
            </w:r>
          </w:p>
        </w:tc>
      </w:tr>
      <w:tr w:rsidR="00E94776" w:rsidRPr="006552B7" w14:paraId="6609FB0C" w14:textId="77777777" w:rsidTr="00E94776">
        <w:tc>
          <w:tcPr>
            <w:tcW w:w="2247" w:type="dxa"/>
            <w:vMerge/>
          </w:tcPr>
          <w:p w14:paraId="06BE8DEB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749" w:type="dxa"/>
          </w:tcPr>
          <w:p w14:paraId="7C700010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64" w:type="dxa"/>
          </w:tcPr>
          <w:p w14:paraId="57571FE0" w14:textId="5CCE967C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K</w:t>
            </w:r>
            <w:r w:rsidRPr="006552B7">
              <w:rPr>
                <w:rFonts w:ascii="맑은 고딕" w:eastAsia="맑은 고딕" w:hAnsi="맑은 고딕" w:cs="Times New Roman"/>
              </w:rPr>
              <w:t xml:space="preserve"> = 5</w:t>
            </w:r>
          </w:p>
        </w:tc>
        <w:tc>
          <w:tcPr>
            <w:tcW w:w="2956" w:type="dxa"/>
          </w:tcPr>
          <w:p w14:paraId="446EB45C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0</w:t>
            </w:r>
            <w:r w:rsidRPr="006552B7">
              <w:rPr>
                <w:rFonts w:ascii="맑은 고딕" w:eastAsia="맑은 고딕" w:hAnsi="맑은 고딕" w:cs="Times New Roman"/>
              </w:rPr>
              <w:t>.4385</w:t>
            </w:r>
          </w:p>
        </w:tc>
      </w:tr>
      <w:tr w:rsidR="00E94776" w:rsidRPr="006552B7" w14:paraId="10E71041" w14:textId="77777777" w:rsidTr="00E94776">
        <w:tc>
          <w:tcPr>
            <w:tcW w:w="2247" w:type="dxa"/>
            <w:vMerge/>
          </w:tcPr>
          <w:p w14:paraId="27F0DC18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749" w:type="dxa"/>
          </w:tcPr>
          <w:p w14:paraId="1E600644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64" w:type="dxa"/>
          </w:tcPr>
          <w:p w14:paraId="5E384B4D" w14:textId="6FBF710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K</w:t>
            </w:r>
            <w:r w:rsidRPr="006552B7">
              <w:rPr>
                <w:rFonts w:ascii="맑은 고딕" w:eastAsia="맑은 고딕" w:hAnsi="맑은 고딕" w:cs="Times New Roman"/>
              </w:rPr>
              <w:t xml:space="preserve"> = 6</w:t>
            </w:r>
          </w:p>
        </w:tc>
        <w:tc>
          <w:tcPr>
            <w:tcW w:w="2956" w:type="dxa"/>
          </w:tcPr>
          <w:p w14:paraId="30ADA6DC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0</w:t>
            </w:r>
            <w:r w:rsidRPr="006552B7">
              <w:rPr>
                <w:rFonts w:ascii="맑은 고딕" w:eastAsia="맑은 고딕" w:hAnsi="맑은 고딕" w:cs="Times New Roman"/>
              </w:rPr>
              <w:t>.4056</w:t>
            </w:r>
          </w:p>
        </w:tc>
      </w:tr>
      <w:tr w:rsidR="00E94776" w:rsidRPr="006552B7" w14:paraId="309E8C84" w14:textId="77777777" w:rsidTr="00E94776">
        <w:tc>
          <w:tcPr>
            <w:tcW w:w="2247" w:type="dxa"/>
            <w:vMerge/>
          </w:tcPr>
          <w:p w14:paraId="0B674849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749" w:type="dxa"/>
          </w:tcPr>
          <w:p w14:paraId="134B1B24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64" w:type="dxa"/>
          </w:tcPr>
          <w:p w14:paraId="144CD49D" w14:textId="64DD27C2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K</w:t>
            </w:r>
            <w:r w:rsidRPr="006552B7">
              <w:rPr>
                <w:rFonts w:ascii="맑은 고딕" w:eastAsia="맑은 고딕" w:hAnsi="맑은 고딕" w:cs="Times New Roman"/>
              </w:rPr>
              <w:t xml:space="preserve"> = 7</w:t>
            </w:r>
          </w:p>
        </w:tc>
        <w:tc>
          <w:tcPr>
            <w:tcW w:w="2956" w:type="dxa"/>
          </w:tcPr>
          <w:p w14:paraId="6285586F" w14:textId="77777777" w:rsidR="00E94776" w:rsidRPr="006552B7" w:rsidRDefault="00E94776" w:rsidP="00805A5D">
            <w:pPr>
              <w:jc w:val="center"/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 w:hint="eastAsia"/>
              </w:rPr>
              <w:t>0</w:t>
            </w:r>
            <w:r w:rsidRPr="006552B7">
              <w:rPr>
                <w:rFonts w:ascii="맑은 고딕" w:eastAsia="맑은 고딕" w:hAnsi="맑은 고딕" w:cs="Times New Roman"/>
              </w:rPr>
              <w:t>.4198</w:t>
            </w:r>
          </w:p>
        </w:tc>
      </w:tr>
    </w:tbl>
    <w:p w14:paraId="4D8176E6" w14:textId="77777777" w:rsidR="006552B7" w:rsidRPr="006552B7" w:rsidRDefault="006552B7" w:rsidP="00805A5D">
      <w:pPr>
        <w:jc w:val="both"/>
        <w:rPr>
          <w:rFonts w:ascii="맑은 고딕" w:eastAsia="맑은 고딕" w:hAnsi="맑은 고딕" w:cs="Times New Roman"/>
          <w:sz w:val="16"/>
          <w:szCs w:val="16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16"/>
          <w:szCs w:val="16"/>
          <w14:ligatures w14:val="none"/>
        </w:rPr>
        <w:t xml:space="preserve">표 </w:t>
      </w:r>
      <w:r w:rsidRPr="006552B7">
        <w:rPr>
          <w:rFonts w:ascii="맑은 고딕" w:eastAsia="맑은 고딕" w:hAnsi="맑은 고딕" w:cs="Times New Roman"/>
          <w:sz w:val="16"/>
          <w:szCs w:val="16"/>
          <w14:ligatures w14:val="none"/>
        </w:rPr>
        <w:t xml:space="preserve">1 </w:t>
      </w:r>
      <w:r w:rsidRPr="006552B7">
        <w:rPr>
          <w:rFonts w:ascii="맑은 고딕" w:eastAsia="맑은 고딕" w:hAnsi="맑은 고딕" w:cs="Times New Roman" w:hint="eastAsia"/>
          <w:sz w:val="16"/>
          <w:szCs w:val="16"/>
          <w14:ligatures w14:val="none"/>
        </w:rPr>
        <w:t>차원 축소 방법에 따른 군집의 개수(</w:t>
      </w:r>
      <w:r w:rsidRPr="006552B7">
        <w:rPr>
          <w:rFonts w:ascii="맑은 고딕" w:eastAsia="맑은 고딕" w:hAnsi="맑은 고딕" w:cs="Times New Roman"/>
          <w:sz w:val="16"/>
          <w:szCs w:val="16"/>
          <w14:ligatures w14:val="none"/>
        </w:rPr>
        <w:t>K)</w:t>
      </w:r>
      <w:r w:rsidRPr="006552B7">
        <w:rPr>
          <w:rFonts w:ascii="맑은 고딕" w:eastAsia="맑은 고딕" w:hAnsi="맑은 고딕" w:cs="Times New Roman" w:hint="eastAsia"/>
          <w:sz w:val="16"/>
          <w:szCs w:val="16"/>
          <w14:ligatures w14:val="none"/>
        </w:rPr>
        <w:t>별 실루엣 점수</w:t>
      </w:r>
    </w:p>
    <w:p w14:paraId="7ABB3250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Explained variance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는 PCA 차원 축소를 한 데이터가 원본 데이터에 비해 어느 정도의 분산적 경향성을 보존하는지 나타내는 값으로,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수치가 높을수록 원본 데이터의 특성이 많이 보존된 것으로 판단할 수 있다.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본 연구에서 1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5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개의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정신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과적 임상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증상 심각도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에 대한 P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C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A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차원 축소를 하자,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explained variance = 0.2862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가 나왔다.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이는 차원 축소 이후 원본 데이터의 특성을 상당 부분 소실한 것으로 판단되어,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실루엣 점수와 무관하게 분석에서 제외하였다.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반면,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residual variance는 I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somap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차원 축소 결과 원본 데이터의 특성에서 이탈한 분산적 경향성을 나타내는 값으로,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그 수치가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0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에 가까울수록 원본 데이터의 보존이 잘 되었다고 볼 수 있다.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여기서는 residual variance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= 0.2169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가 나와,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원본 데이터를 상당부분 보존하는 준수한 차원 축소 결과라고 보여진다.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</w:p>
    <w:p w14:paraId="7A862251" w14:textId="2AFE9DF9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따라서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정신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과적 임상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증상 심각도에 기반한 군집 분석 결과, 차원 축소에는 Isomap을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선정하고 군집 개수(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k)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가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3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인 경우에,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실루엣 점수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가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0.4475로 가장 우수한 성능을 보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여,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이 방식으로 만들어진 군집들을 분석 대상으로 선정하였다.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구체적인 수치들은 표1에서 확인할 수 있다.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</w:p>
    <w:tbl>
      <w:tblPr>
        <w:tblStyle w:val="10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552B7" w:rsidRPr="006552B7" w14:paraId="45BE286D" w14:textId="77777777" w:rsidTr="00223698">
        <w:trPr>
          <w:trHeight w:val="3779"/>
        </w:trPr>
        <w:tc>
          <w:tcPr>
            <w:tcW w:w="9067" w:type="dxa"/>
          </w:tcPr>
          <w:p w14:paraId="06DF75FD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noProof/>
              </w:rPr>
              <w:drawing>
                <wp:inline distT="0" distB="0" distL="0" distR="0" wp14:anchorId="2D868E07" wp14:editId="1E035C9D">
                  <wp:extent cx="5610225" cy="2457450"/>
                  <wp:effectExtent l="0" t="0" r="9525" b="0"/>
                  <wp:docPr id="1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그림 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2B7" w:rsidRPr="006552B7" w14:paraId="4841ECF4" w14:textId="77777777" w:rsidTr="00223698">
        <w:tc>
          <w:tcPr>
            <w:tcW w:w="9067" w:type="dxa"/>
          </w:tcPr>
          <w:p w14:paraId="2B21BC4F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 w:val="16"/>
                <w:szCs w:val="16"/>
              </w:rPr>
            </w:pP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Figure1. 왼쪽 그림은 군집에 속하는 데이터 포인트별 실루엣 점수와 전체의 실루엣 점수(빨간선)을 보여주고 있다.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 xml:space="preserve">오른쪽 그림은 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>Is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o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map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 xml:space="preserve">기반 차원 축소 후 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K means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 xml:space="preserve">군집화를 하여 만들어진 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>3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 xml:space="preserve">개의 군집 데이터 포인트 분포를 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>2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차원 공간에 투영시켜서 시각화한 것이다.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 </w:t>
            </w:r>
          </w:p>
        </w:tc>
      </w:tr>
    </w:tbl>
    <w:p w14:paraId="242C26B5" w14:textId="77777777" w:rsidR="006552B7" w:rsidRPr="006552B7" w:rsidRDefault="006552B7" w:rsidP="00805A5D">
      <w:p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</w:p>
    <w:p w14:paraId="07293D5C" w14:textId="7D78BED5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만들어진 각각의 군집들에 대해 로지스틱 회귀 분석을 한 결과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, 3개의 군집은 각각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불안/우울/신체화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증상(C0),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정신증적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증상(C1), 그리고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기분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증상(C2) 차원으로 특징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지어졌다. 구체적으로, C0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은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불안,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우울,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PTSD,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사회공포,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강박,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신체화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,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통증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과 유의한 양의 연관성을 보였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고,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C1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은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망상,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환각,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음성증상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과 유의하게 양의 연관성을 나타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냈으며,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C3는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조증과 경조증과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뚜렷한 양의 연관성을 보였다.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군집별 구체적인 증상들에 대한 양과 음의 연관성은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Figure2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에서 확인 가능하다.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tbl>
      <w:tblPr>
        <w:tblStyle w:val="10"/>
        <w:tblpPr w:leftFromText="142" w:rightFromText="142" w:vertAnchor="text" w:horzAnchor="margin" w:tblpY="480"/>
        <w:tblW w:w="0" w:type="auto"/>
        <w:tblLook w:val="04A0" w:firstRow="1" w:lastRow="0" w:firstColumn="1" w:lastColumn="0" w:noHBand="0" w:noVBand="1"/>
      </w:tblPr>
      <w:tblGrid>
        <w:gridCol w:w="1125"/>
        <w:gridCol w:w="1555"/>
        <w:gridCol w:w="2208"/>
      </w:tblGrid>
      <w:tr w:rsidR="00E94776" w:rsidRPr="006552B7" w14:paraId="1CE99F51" w14:textId="77777777" w:rsidTr="00E94776">
        <w:trPr>
          <w:trHeight w:val="456"/>
        </w:trPr>
        <w:tc>
          <w:tcPr>
            <w:tcW w:w="1125" w:type="dxa"/>
            <w:shd w:val="clear" w:color="auto" w:fill="E7E6E6"/>
            <w:vAlign w:val="center"/>
          </w:tcPr>
          <w:p w14:paraId="7CFF71A5" w14:textId="77777777" w:rsidR="00E94776" w:rsidRPr="00E94776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</w:p>
        </w:tc>
        <w:tc>
          <w:tcPr>
            <w:tcW w:w="1555" w:type="dxa"/>
            <w:shd w:val="clear" w:color="auto" w:fill="E7E6E6"/>
            <w:vAlign w:val="center"/>
          </w:tcPr>
          <w:p w14:paraId="6EB7AEF0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군집 크기</w:t>
            </w:r>
          </w:p>
        </w:tc>
        <w:tc>
          <w:tcPr>
            <w:tcW w:w="2208" w:type="dxa"/>
            <w:shd w:val="clear" w:color="auto" w:fill="E7E6E6"/>
            <w:vAlign w:val="center"/>
          </w:tcPr>
          <w:p w14:paraId="17BF31E3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주요 증상</w:t>
            </w:r>
          </w:p>
        </w:tc>
      </w:tr>
      <w:tr w:rsidR="00E94776" w:rsidRPr="006552B7" w14:paraId="7B3EF056" w14:textId="77777777" w:rsidTr="00E94776">
        <w:trPr>
          <w:trHeight w:val="472"/>
        </w:trPr>
        <w:tc>
          <w:tcPr>
            <w:tcW w:w="1125" w:type="dxa"/>
          </w:tcPr>
          <w:p w14:paraId="4991B5B3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szCs w:val="20"/>
              </w:rPr>
              <w:t>Cluster 0</w:t>
            </w:r>
          </w:p>
        </w:tc>
        <w:tc>
          <w:tcPr>
            <w:tcW w:w="1555" w:type="dxa"/>
          </w:tcPr>
          <w:p w14:paraId="75F4749B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1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>301</w:t>
            </w: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명</w:t>
            </w:r>
          </w:p>
        </w:tc>
        <w:tc>
          <w:tcPr>
            <w:tcW w:w="2208" w:type="dxa"/>
          </w:tcPr>
          <w:p w14:paraId="3E2A63AE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불안/우울/신체 증상</w:t>
            </w:r>
          </w:p>
        </w:tc>
      </w:tr>
      <w:tr w:rsidR="00E94776" w:rsidRPr="006552B7" w14:paraId="6824849B" w14:textId="77777777" w:rsidTr="00E94776">
        <w:trPr>
          <w:trHeight w:val="448"/>
        </w:trPr>
        <w:tc>
          <w:tcPr>
            <w:tcW w:w="1125" w:type="dxa"/>
          </w:tcPr>
          <w:p w14:paraId="38970330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szCs w:val="20"/>
              </w:rPr>
              <w:t>Cluster 1</w:t>
            </w:r>
          </w:p>
        </w:tc>
        <w:tc>
          <w:tcPr>
            <w:tcW w:w="1555" w:type="dxa"/>
          </w:tcPr>
          <w:p w14:paraId="14620A4D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5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>75</w:t>
            </w: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명</w:t>
            </w:r>
          </w:p>
        </w:tc>
        <w:tc>
          <w:tcPr>
            <w:tcW w:w="2208" w:type="dxa"/>
          </w:tcPr>
          <w:p w14:paraId="1031F8DA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정신증적 증상</w:t>
            </w:r>
          </w:p>
        </w:tc>
      </w:tr>
      <w:tr w:rsidR="00E94776" w:rsidRPr="006552B7" w14:paraId="6E34DFC0" w14:textId="77777777" w:rsidTr="00E94776">
        <w:trPr>
          <w:trHeight w:val="286"/>
        </w:trPr>
        <w:tc>
          <w:tcPr>
            <w:tcW w:w="1125" w:type="dxa"/>
          </w:tcPr>
          <w:p w14:paraId="5C001E1A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szCs w:val="20"/>
              </w:rPr>
              <w:t>Cluster 2</w:t>
            </w:r>
          </w:p>
        </w:tc>
        <w:tc>
          <w:tcPr>
            <w:tcW w:w="1555" w:type="dxa"/>
          </w:tcPr>
          <w:p w14:paraId="0B8FA596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3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>13</w:t>
            </w: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명</w:t>
            </w:r>
          </w:p>
        </w:tc>
        <w:tc>
          <w:tcPr>
            <w:tcW w:w="2208" w:type="dxa"/>
          </w:tcPr>
          <w:p w14:paraId="20D032AD" w14:textId="77777777" w:rsidR="00E94776" w:rsidRPr="006552B7" w:rsidRDefault="00E94776" w:rsidP="00E94776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기분 증상</w:t>
            </w:r>
          </w:p>
        </w:tc>
      </w:tr>
    </w:tbl>
    <w:p w14:paraId="068A564A" w14:textId="1C3DFBC6" w:rsidR="00E94776" w:rsidRDefault="006552B7" w:rsidP="00E94776">
      <w:pPr>
        <w:jc w:val="both"/>
        <w:rPr>
          <w:rFonts w:ascii="맑은 고딕" w:eastAsia="맑은 고딕" w:hAnsi="맑은 고딕" w:cs="Times New Roman"/>
          <w:sz w:val="16"/>
          <w:szCs w:val="16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16"/>
          <w:szCs w:val="16"/>
          <w14:ligatures w14:val="none"/>
        </w:rPr>
        <w:lastRenderedPageBreak/>
        <w:t>표2</w:t>
      </w:r>
      <w:r w:rsidRPr="006552B7">
        <w:rPr>
          <w:rFonts w:ascii="맑은 고딕" w:eastAsia="맑은 고딕" w:hAnsi="맑은 고딕" w:cs="Times New Roman"/>
          <w:sz w:val="16"/>
          <w:szCs w:val="16"/>
          <w14:ligatures w14:val="none"/>
        </w:rPr>
        <w:t xml:space="preserve">. </w:t>
      </w:r>
      <w:r w:rsidRPr="006552B7">
        <w:rPr>
          <w:rFonts w:ascii="맑은 고딕" w:eastAsia="맑은 고딕" w:hAnsi="맑은 고딕" w:cs="Times New Roman" w:hint="eastAsia"/>
          <w:sz w:val="16"/>
          <w:szCs w:val="16"/>
          <w14:ligatures w14:val="none"/>
        </w:rPr>
        <w:t xml:space="preserve">군집별 주요 특징 </w:t>
      </w:r>
    </w:p>
    <w:p w14:paraId="10BF60FB" w14:textId="77777777" w:rsidR="00E94776" w:rsidRPr="00E94776" w:rsidRDefault="00E94776" w:rsidP="00E94776">
      <w:pPr>
        <w:rPr>
          <w:rFonts w:ascii="맑은 고딕" w:eastAsia="맑은 고딕" w:hAnsi="맑은 고딕" w:cs="Times New Roman"/>
          <w:sz w:val="16"/>
          <w:szCs w:val="16"/>
        </w:rPr>
      </w:pPr>
    </w:p>
    <w:p w14:paraId="055B4A77" w14:textId="77777777" w:rsidR="00E94776" w:rsidRPr="00E94776" w:rsidRDefault="00E94776" w:rsidP="00E94776">
      <w:pPr>
        <w:rPr>
          <w:rFonts w:ascii="맑은 고딕" w:eastAsia="맑은 고딕" w:hAnsi="맑은 고딕" w:cs="Times New Roman"/>
          <w:sz w:val="16"/>
          <w:szCs w:val="16"/>
        </w:rPr>
      </w:pPr>
    </w:p>
    <w:p w14:paraId="4EC6E787" w14:textId="77777777" w:rsidR="00E94776" w:rsidRPr="00E94776" w:rsidRDefault="00E94776" w:rsidP="00E94776">
      <w:pPr>
        <w:rPr>
          <w:rFonts w:ascii="맑은 고딕" w:eastAsia="맑은 고딕" w:hAnsi="맑은 고딕" w:cs="Times New Roman"/>
          <w:sz w:val="16"/>
          <w:szCs w:val="16"/>
        </w:rPr>
      </w:pPr>
    </w:p>
    <w:p w14:paraId="10F0A14A" w14:textId="1A44719A" w:rsidR="006552B7" w:rsidRDefault="006552B7" w:rsidP="00E94776">
      <w:pPr>
        <w:rPr>
          <w:rFonts w:ascii="맑은 고딕" w:eastAsia="맑은 고딕" w:hAnsi="맑은 고딕" w:cs="Times New Roman"/>
          <w:sz w:val="16"/>
          <w:szCs w:val="16"/>
        </w:rPr>
      </w:pPr>
    </w:p>
    <w:p w14:paraId="3FAD03EE" w14:textId="77777777" w:rsidR="00E94776" w:rsidRPr="00E94776" w:rsidRDefault="00E94776" w:rsidP="00E94776">
      <w:pPr>
        <w:rPr>
          <w:rFonts w:ascii="맑은 고딕" w:eastAsia="맑은 고딕" w:hAnsi="맑은 고딕" w:cs="Times New Roman"/>
          <w:sz w:val="16"/>
          <w:szCs w:val="16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52B7" w:rsidRPr="006552B7" w14:paraId="69048106" w14:textId="77777777" w:rsidTr="00223698">
        <w:trPr>
          <w:trHeight w:val="7381"/>
        </w:trPr>
        <w:tc>
          <w:tcPr>
            <w:tcW w:w="9016" w:type="dxa"/>
          </w:tcPr>
          <w:p w14:paraId="041D0990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</w:rPr>
            </w:pPr>
            <w:r w:rsidRPr="006552B7">
              <w:rPr>
                <w:rFonts w:ascii="맑은 고딕" w:eastAsia="맑은 고딕" w:hAnsi="맑은 고딕" w:cs="Times New Roman"/>
                <w:noProof/>
              </w:rPr>
              <w:drawing>
                <wp:anchor distT="0" distB="0" distL="114300" distR="114300" simplePos="0" relativeHeight="251662336" behindDoc="1" locked="0" layoutInCell="1" allowOverlap="1" wp14:anchorId="0204C41D" wp14:editId="0BE42E2E">
                  <wp:simplePos x="0" y="0"/>
                  <wp:positionH relativeFrom="margin">
                    <wp:posOffset>-62230</wp:posOffset>
                  </wp:positionH>
                  <wp:positionV relativeFrom="paragraph">
                    <wp:posOffset>3072130</wp:posOffset>
                  </wp:positionV>
                  <wp:extent cx="5667375" cy="1574165"/>
                  <wp:effectExtent l="0" t="0" r="9525" b="6985"/>
                  <wp:wrapTight wrapText="bothSides">
                    <wp:wrapPolygon edited="0">
                      <wp:start x="0" y="0"/>
                      <wp:lineTo x="0" y="21434"/>
                      <wp:lineTo x="21564" y="21434"/>
                      <wp:lineTo x="21564" y="0"/>
                      <wp:lineTo x="0" y="0"/>
                    </wp:wrapPolygon>
                  </wp:wrapTight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552B7">
              <w:rPr>
                <w:rFonts w:ascii="맑은 고딕" w:eastAsia="맑은 고딕" w:hAnsi="맑은 고딕" w:cs="Times New Roman"/>
                <w:noProof/>
                <w:szCs w:val="20"/>
              </w:rPr>
              <w:drawing>
                <wp:inline distT="0" distB="0" distL="0" distR="0" wp14:anchorId="4BCC638B" wp14:editId="7B13AB3E">
                  <wp:extent cx="5610225" cy="1479550"/>
                  <wp:effectExtent l="0" t="0" r="9525" b="635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36" t="50267"/>
                          <a:stretch/>
                        </pic:blipFill>
                        <pic:spPr bwMode="auto">
                          <a:xfrm>
                            <a:off x="0" y="0"/>
                            <a:ext cx="5610225" cy="147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552B7">
              <w:rPr>
                <w:rFonts w:ascii="맑은 고딕" w:eastAsia="맑은 고딕" w:hAnsi="맑은 고딕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3C9D5FB0" wp14:editId="7C6CA7A5">
                  <wp:simplePos x="0" y="0"/>
                  <wp:positionH relativeFrom="margin">
                    <wp:posOffset>-14605</wp:posOffset>
                  </wp:positionH>
                  <wp:positionV relativeFrom="paragraph">
                    <wp:posOffset>71755</wp:posOffset>
                  </wp:positionV>
                  <wp:extent cx="5649595" cy="1428750"/>
                  <wp:effectExtent l="0" t="0" r="8255" b="0"/>
                  <wp:wrapTight wrapText="bothSides">
                    <wp:wrapPolygon edited="0">
                      <wp:start x="0" y="0"/>
                      <wp:lineTo x="0" y="21312"/>
                      <wp:lineTo x="21559" y="21312"/>
                      <wp:lineTo x="21559" y="0"/>
                      <wp:lineTo x="0" y="0"/>
                    </wp:wrapPolygon>
                  </wp:wrapTight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" r="-1" b="50641"/>
                          <a:stretch/>
                        </pic:blipFill>
                        <pic:spPr bwMode="auto">
                          <a:xfrm>
                            <a:off x="0" y="0"/>
                            <a:ext cx="5649595" cy="142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52B7" w:rsidRPr="006552B7" w14:paraId="01DF48A5" w14:textId="77777777" w:rsidTr="00223698">
        <w:tc>
          <w:tcPr>
            <w:tcW w:w="9016" w:type="dxa"/>
          </w:tcPr>
          <w:p w14:paraId="6CD6A75B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 w:val="16"/>
                <w:szCs w:val="16"/>
              </w:rPr>
            </w:pP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 xml:space="preserve">Figure2. 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3개의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군집 각각에 대하여 유의미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한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p-value를 보인 증상들을 선별하여 회귀계수를 표시한 막대그래프이다.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 xml:space="preserve">빨간색 막대는 양의 연관성을 보이는 증상을, 파란색 막대는 음의 연관성을 보이는 증상들이다. </w:t>
            </w:r>
          </w:p>
        </w:tc>
      </w:tr>
    </w:tbl>
    <w:p w14:paraId="6DF29BB5" w14:textId="77777777" w:rsidR="006552B7" w:rsidRDefault="006552B7" w:rsidP="00805A5D">
      <w:pPr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8B421BE" w14:textId="5AAD8AC1" w:rsidR="00E94776" w:rsidRPr="00E94776" w:rsidRDefault="00E94776" w:rsidP="00E94776">
      <w:pPr>
        <w:pStyle w:val="a6"/>
        <w:numPr>
          <w:ilvl w:val="0"/>
          <w:numId w:val="12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뇌파 데이터 기반 딥러닝 모델의 군집 예측 </w:t>
      </w:r>
    </w:p>
    <w:p w14:paraId="117F55C9" w14:textId="5C3E8E52" w:rsidR="00E94776" w:rsidRPr="006552B7" w:rsidRDefault="00E94776" w:rsidP="00E94776">
      <w:pPr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2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000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개 가량의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rs-EEG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데이터 각각에 대해서 딥러닝 모델이 실제 군집을 어느 정도의 정확도로 예측할 수 있는지 확인하기 위해서,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다양한 딥러닝 모델을 시도해보았다.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탐색한 딥러닝 모델은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baseline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에 해당하는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Convolutional Neural Network(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C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NN),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Long Short-Term Memory network(LSTM), Multi-Layer Perceptron(MLP)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과 전이 학습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(Transfer Learning Model)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기반 모델인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DIVER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을 이용하였고,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DIVER는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random initialize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여부와 모델 크기에 따라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DIVER_base</w:t>
      </w:r>
      <w:r>
        <w:rPr>
          <w:rFonts w:ascii="맑은 고딕" w:eastAsia="맑은 고딕" w:hAnsi="맑은 고딕" w:cs="Times New Roman"/>
          <w:sz w:val="20"/>
          <w:szCs w:val="22"/>
          <w14:ligatures w14:val="none"/>
        </w:rPr>
        <w:t>(256</w:t>
      </w:r>
      <w:r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사이즈, </w:t>
      </w:r>
      <w:r>
        <w:rPr>
          <w:rFonts w:ascii="맑은 고딕" w:eastAsia="맑은 고딕" w:hAnsi="맑은 고딕" w:cs="Times New Roman"/>
          <w:sz w:val="20"/>
          <w:szCs w:val="22"/>
          <w14:ligatures w14:val="none"/>
        </w:rPr>
        <w:t>random initialization</w:t>
      </w:r>
      <w:r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)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,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D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IVER_256,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D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IVER_512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를 시도하였다.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</w:p>
    <w:p w14:paraId="5D0AB8BD" w14:textId="77777777" w:rsidR="00E94776" w:rsidRPr="006552B7" w:rsidRDefault="00E94776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lastRenderedPageBreak/>
        <w:t>입력한 데이터로는 원본 데이터(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raw data)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와 전처리 데이터(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preprocessed data),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그리고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EEG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데이터를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채널별 주파수 대역 크기로 변환한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데이터를 사용하였다.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채널별 주파수 대역 크기로 변환한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데이터는,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원본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EEG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데이터를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FFT 기반의 Welch 방법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을 이용하여 채널별로 5개의 주파수 대역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– alpha, beta, gamma, delta, theta – 에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대한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전력 스펙트럼 밀도(power spectrum density)를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추출하고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, simpson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적분을 통해 주파수 대역 크기(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band power)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를 계산하는 방식으로 만들어졌다.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</w:p>
    <w:p w14:paraId="028BB2C9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각각의 모델은,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l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earning rate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= 0.0001, weight decay=0.0001, drop out ratio=0.5, target length=10000, batch size=16, loss function=cross_entropy, optimizer=Adam, epoch=50, patience=15로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설정하여 학습을 하였으며,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이러한 하이퍼파라미터는 다양한 값으로 조정해보며 성능이 가장 좋았던 값이다.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445667E4" w14:textId="77777777" w:rsidR="006552B7" w:rsidRPr="006552B7" w:rsidRDefault="006552B7" w:rsidP="00805A5D">
      <w:pPr>
        <w:ind w:firstLineChars="600" w:firstLine="12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라)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딥러닝 모델의 군집 예측 성능 평가 </w:t>
      </w:r>
    </w:p>
    <w:p w14:paraId="41DC6960" w14:textId="7F6651EB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Accuracy(정확도)는 전체 예측에서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맞춘 것의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비율을 의미하지만,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군집 크기의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불균형이 존재할 경우 모델 </w:t>
      </w:r>
      <w:r w:rsidR="00E94776">
        <w:rPr>
          <w:rFonts w:ascii="맑은 고딕" w:eastAsia="맑은 고딕" w:hAnsi="맑은 고딕" w:cs="Times New Roman"/>
          <w:sz w:val="20"/>
          <w:szCs w:val="22"/>
          <w14:ligatures w14:val="none"/>
        </w:rPr>
        <w:t>성능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이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="00E94776">
        <w:rPr>
          <w:rFonts w:ascii="맑은 고딕" w:eastAsia="맑은 고딕" w:hAnsi="맑은 고딕" w:cs="Times New Roman"/>
          <w:sz w:val="20"/>
          <w:szCs w:val="22"/>
          <w14:ligatures w14:val="none"/>
        </w:rPr>
        <w:t>과대평가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 될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수 있다. 이를 보완하기 </w:t>
      </w:r>
      <w:r w:rsidR="00E94776">
        <w:rPr>
          <w:rFonts w:ascii="맑은 고딕" w:eastAsia="맑은 고딕" w:hAnsi="맑은 고딕" w:cs="Times New Roman"/>
          <w:sz w:val="20"/>
          <w:szCs w:val="22"/>
          <w14:ligatures w14:val="none"/>
        </w:rPr>
        <w:t>위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해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Balanced Accuracy는 각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군집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의 재현율을 산술평균하여 계산되며,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군집 크기의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분포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가 불균형한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상황에서도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정확한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 성능 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평가를 가능하게 한다. </w:t>
      </w:r>
      <w:r w:rsidRPr="006552B7">
        <w:rPr>
          <w:rFonts w:ascii="맑은 고딕" w:eastAsia="맑은 고딕" w:hAnsi="맑은 고딕" w:cs="Times New Roman"/>
          <w:bCs/>
          <w:sz w:val="20"/>
          <w:szCs w:val="22"/>
          <w14:ligatures w14:val="none"/>
        </w:rPr>
        <w:t>Macro-F1 score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>는 각 클래스의 F1-score를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 산술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평균한 값으로,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군집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크기의 차이와 무관하게 모든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군집을 </w:t>
      </w:r>
      <w:r w:rsidR="00E94776">
        <w:rPr>
          <w:rFonts w:ascii="맑은 고딕" w:eastAsia="맑은 고딕" w:hAnsi="맑은 고딕" w:cs="Times New Roman"/>
          <w:sz w:val="20"/>
          <w:szCs w:val="22"/>
          <w14:ligatures w14:val="none"/>
        </w:rPr>
        <w:t>동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일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하게 평가한다는 점에서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군집 크기가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불균형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한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데이터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에서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전반적 모델 성능을 판단하는 </w:t>
      </w:r>
      <w:r w:rsidR="00E94776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것에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중요한 지표로 활용된다.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 xml:space="preserve"> 원본 데이터, 전처리 데이터,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주파수 대역 변환 데이터 각각에 대하여 모델별 성능 지표는 표3, 표4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,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표5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에서 </w:t>
      </w:r>
      <w:r w:rsidRPr="006552B7">
        <w:rPr>
          <w:rFonts w:ascii="맑은 고딕" w:eastAsia="맑은 고딕" w:hAnsi="맑은 고딕" w:cs="Times New Roman" w:hint="eastAsia"/>
          <w:sz w:val="20"/>
          <w:szCs w:val="22"/>
          <w14:ligatures w14:val="none"/>
        </w:rPr>
        <w:t>확인 가능하다.</w:t>
      </w:r>
      <w:r w:rsidRPr="006552B7">
        <w:rPr>
          <w:rFonts w:ascii="맑은 고딕" w:eastAsia="맑은 고딕" w:hAnsi="맑은 고딕" w:cs="Times New Roman"/>
          <w:sz w:val="20"/>
          <w:szCs w:val="22"/>
          <w14:ligatures w14:val="none"/>
        </w:rPr>
        <w:t xml:space="preserve"> </w:t>
      </w:r>
    </w:p>
    <w:tbl>
      <w:tblPr>
        <w:tblStyle w:val="10"/>
        <w:tblW w:w="9214" w:type="dxa"/>
        <w:tblInd w:w="-5" w:type="dxa"/>
        <w:tblLook w:val="04A0" w:firstRow="1" w:lastRow="0" w:firstColumn="1" w:lastColumn="0" w:noHBand="0" w:noVBand="1"/>
      </w:tblPr>
      <w:tblGrid>
        <w:gridCol w:w="1319"/>
        <w:gridCol w:w="1051"/>
        <w:gridCol w:w="1187"/>
        <w:gridCol w:w="1091"/>
        <w:gridCol w:w="1319"/>
        <w:gridCol w:w="1050"/>
        <w:gridCol w:w="1106"/>
        <w:gridCol w:w="1091"/>
      </w:tblGrid>
      <w:tr w:rsidR="006552B7" w:rsidRPr="006552B7" w14:paraId="4BF2BF1E" w14:textId="77777777" w:rsidTr="006552B7">
        <w:tc>
          <w:tcPr>
            <w:tcW w:w="1319" w:type="dxa"/>
            <w:shd w:val="clear" w:color="auto" w:fill="E7E6E6"/>
            <w:vAlign w:val="center"/>
          </w:tcPr>
          <w:p w14:paraId="3FC366A9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M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odel</w:t>
            </w:r>
          </w:p>
        </w:tc>
        <w:tc>
          <w:tcPr>
            <w:tcW w:w="1051" w:type="dxa"/>
            <w:shd w:val="clear" w:color="auto" w:fill="E7E6E6"/>
            <w:vAlign w:val="center"/>
          </w:tcPr>
          <w:p w14:paraId="4646329E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F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1score</w:t>
            </w:r>
          </w:p>
        </w:tc>
        <w:tc>
          <w:tcPr>
            <w:tcW w:w="1187" w:type="dxa"/>
            <w:shd w:val="clear" w:color="auto" w:fill="E7E6E6"/>
            <w:vAlign w:val="center"/>
          </w:tcPr>
          <w:p w14:paraId="0E10AD58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 xml:space="preserve">Balanced </w:t>
            </w: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a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ccuracy</w:t>
            </w:r>
          </w:p>
        </w:tc>
        <w:tc>
          <w:tcPr>
            <w:tcW w:w="1091" w:type="dxa"/>
            <w:shd w:val="clear" w:color="auto" w:fill="E7E6E6"/>
            <w:vAlign w:val="center"/>
          </w:tcPr>
          <w:p w14:paraId="30D6C98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accuracy</w:t>
            </w:r>
          </w:p>
        </w:tc>
        <w:tc>
          <w:tcPr>
            <w:tcW w:w="1319" w:type="dxa"/>
            <w:shd w:val="clear" w:color="auto" w:fill="E7E6E6"/>
            <w:vAlign w:val="center"/>
          </w:tcPr>
          <w:p w14:paraId="3AFF3C74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M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odel</w:t>
            </w:r>
          </w:p>
        </w:tc>
        <w:tc>
          <w:tcPr>
            <w:tcW w:w="1050" w:type="dxa"/>
            <w:shd w:val="clear" w:color="auto" w:fill="E7E6E6"/>
            <w:vAlign w:val="center"/>
          </w:tcPr>
          <w:p w14:paraId="6CBF0F3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F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1score</w:t>
            </w:r>
          </w:p>
        </w:tc>
        <w:tc>
          <w:tcPr>
            <w:tcW w:w="1106" w:type="dxa"/>
            <w:shd w:val="clear" w:color="auto" w:fill="E7E6E6"/>
            <w:vAlign w:val="center"/>
          </w:tcPr>
          <w:p w14:paraId="78B8CD4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 xml:space="preserve">Balanced </w:t>
            </w: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a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ccuracy</w:t>
            </w:r>
          </w:p>
        </w:tc>
        <w:tc>
          <w:tcPr>
            <w:tcW w:w="1091" w:type="dxa"/>
            <w:shd w:val="clear" w:color="auto" w:fill="E7E6E6"/>
            <w:vAlign w:val="center"/>
          </w:tcPr>
          <w:p w14:paraId="64A93F6A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accuracy</w:t>
            </w:r>
          </w:p>
        </w:tc>
      </w:tr>
      <w:tr w:rsidR="006552B7" w:rsidRPr="006552B7" w14:paraId="62D0A4B5" w14:textId="77777777" w:rsidTr="00223698">
        <w:tc>
          <w:tcPr>
            <w:tcW w:w="1319" w:type="dxa"/>
          </w:tcPr>
          <w:p w14:paraId="3A9AB42C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C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NN</w:t>
            </w:r>
          </w:p>
        </w:tc>
        <w:tc>
          <w:tcPr>
            <w:tcW w:w="1051" w:type="dxa"/>
          </w:tcPr>
          <w:p w14:paraId="5BFEC064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0.3455</w:t>
            </w:r>
          </w:p>
        </w:tc>
        <w:tc>
          <w:tcPr>
            <w:tcW w:w="1187" w:type="dxa"/>
          </w:tcPr>
          <w:p w14:paraId="5727B64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0.3526</w:t>
            </w:r>
          </w:p>
        </w:tc>
        <w:tc>
          <w:tcPr>
            <w:tcW w:w="1091" w:type="dxa"/>
          </w:tcPr>
          <w:p w14:paraId="2989E9D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0.4156</w:t>
            </w:r>
          </w:p>
        </w:tc>
        <w:tc>
          <w:tcPr>
            <w:tcW w:w="1319" w:type="dxa"/>
          </w:tcPr>
          <w:p w14:paraId="2ADBA6BB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C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NN</w:t>
            </w:r>
          </w:p>
        </w:tc>
        <w:tc>
          <w:tcPr>
            <w:tcW w:w="1050" w:type="dxa"/>
          </w:tcPr>
          <w:p w14:paraId="4798296D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0.3312</w:t>
            </w:r>
          </w:p>
        </w:tc>
        <w:tc>
          <w:tcPr>
            <w:tcW w:w="1106" w:type="dxa"/>
          </w:tcPr>
          <w:p w14:paraId="337A1E1B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0.3677</w:t>
            </w:r>
          </w:p>
        </w:tc>
        <w:tc>
          <w:tcPr>
            <w:tcW w:w="1091" w:type="dxa"/>
          </w:tcPr>
          <w:p w14:paraId="6EE1ADAC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0.4750</w:t>
            </w:r>
          </w:p>
        </w:tc>
      </w:tr>
      <w:tr w:rsidR="006552B7" w:rsidRPr="006552B7" w14:paraId="26C69D5F" w14:textId="77777777" w:rsidTr="00223698">
        <w:tc>
          <w:tcPr>
            <w:tcW w:w="1130" w:type="dxa"/>
          </w:tcPr>
          <w:p w14:paraId="794B8C17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L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STM</w:t>
            </w:r>
          </w:p>
        </w:tc>
        <w:tc>
          <w:tcPr>
            <w:tcW w:w="1138" w:type="dxa"/>
          </w:tcPr>
          <w:p w14:paraId="624A547A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szCs w:val="20"/>
              </w:rPr>
              <w:t>0.2491</w:t>
            </w:r>
          </w:p>
        </w:tc>
        <w:tc>
          <w:tcPr>
            <w:tcW w:w="1276" w:type="dxa"/>
          </w:tcPr>
          <w:p w14:paraId="5897AB8E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0.3333</w:t>
            </w:r>
          </w:p>
        </w:tc>
        <w:tc>
          <w:tcPr>
            <w:tcW w:w="1134" w:type="dxa"/>
          </w:tcPr>
          <w:p w14:paraId="4D9D3B41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0.5968</w:t>
            </w:r>
          </w:p>
        </w:tc>
        <w:tc>
          <w:tcPr>
            <w:tcW w:w="1134" w:type="dxa"/>
          </w:tcPr>
          <w:p w14:paraId="23F71032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L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STM</w:t>
            </w:r>
          </w:p>
        </w:tc>
        <w:tc>
          <w:tcPr>
            <w:tcW w:w="1134" w:type="dxa"/>
          </w:tcPr>
          <w:p w14:paraId="5835110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0.3218</w:t>
            </w:r>
          </w:p>
        </w:tc>
        <w:tc>
          <w:tcPr>
            <w:tcW w:w="1134" w:type="dxa"/>
          </w:tcPr>
          <w:p w14:paraId="06DA07BE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0.3580</w:t>
            </w:r>
          </w:p>
        </w:tc>
        <w:tc>
          <w:tcPr>
            <w:tcW w:w="1134" w:type="dxa"/>
          </w:tcPr>
          <w:p w14:paraId="7567B639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0.4656</w:t>
            </w:r>
          </w:p>
        </w:tc>
      </w:tr>
      <w:tr w:rsidR="006552B7" w:rsidRPr="006552B7" w14:paraId="69500B2D" w14:textId="77777777" w:rsidTr="00E94776">
        <w:tc>
          <w:tcPr>
            <w:tcW w:w="1130" w:type="dxa"/>
          </w:tcPr>
          <w:p w14:paraId="2C90184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MLP</w:t>
            </w:r>
          </w:p>
        </w:tc>
        <w:tc>
          <w:tcPr>
            <w:tcW w:w="1138" w:type="dxa"/>
          </w:tcPr>
          <w:p w14:paraId="2F015D86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0.2918</w:t>
            </w:r>
          </w:p>
        </w:tc>
        <w:tc>
          <w:tcPr>
            <w:tcW w:w="1276" w:type="dxa"/>
          </w:tcPr>
          <w:p w14:paraId="626DBAD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0.3274</w:t>
            </w:r>
          </w:p>
        </w:tc>
        <w:tc>
          <w:tcPr>
            <w:tcW w:w="1134" w:type="dxa"/>
          </w:tcPr>
          <w:p w14:paraId="26A4B54D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0.5406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17CC087E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MLP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096E822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>.4059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6F82A983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>.4076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02AE0705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0.4843</w:t>
            </w:r>
          </w:p>
        </w:tc>
      </w:tr>
      <w:tr w:rsidR="006552B7" w:rsidRPr="006552B7" w14:paraId="106918AB" w14:textId="77777777" w:rsidTr="00E94776">
        <w:tc>
          <w:tcPr>
            <w:tcW w:w="1130" w:type="dxa"/>
          </w:tcPr>
          <w:p w14:paraId="3EC9BEAD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D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IVER_</w:t>
            </w: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base</w:t>
            </w:r>
          </w:p>
        </w:tc>
        <w:tc>
          <w:tcPr>
            <w:tcW w:w="1138" w:type="dxa"/>
          </w:tcPr>
          <w:p w14:paraId="5CA4D0F5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0.2827</w:t>
            </w:r>
          </w:p>
        </w:tc>
        <w:tc>
          <w:tcPr>
            <w:tcW w:w="1276" w:type="dxa"/>
          </w:tcPr>
          <w:p w14:paraId="39F1263D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0.3405</w:t>
            </w:r>
          </w:p>
        </w:tc>
        <w:tc>
          <w:tcPr>
            <w:tcW w:w="1134" w:type="dxa"/>
          </w:tcPr>
          <w:p w14:paraId="7354C6D4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0.6531</w:t>
            </w:r>
          </w:p>
        </w:tc>
        <w:tc>
          <w:tcPr>
            <w:tcW w:w="1134" w:type="dxa"/>
            <w:shd w:val="clear" w:color="auto" w:fill="auto"/>
          </w:tcPr>
          <w:p w14:paraId="165C9699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D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IVER_base</w:t>
            </w:r>
          </w:p>
        </w:tc>
        <w:tc>
          <w:tcPr>
            <w:tcW w:w="1134" w:type="dxa"/>
            <w:shd w:val="clear" w:color="auto" w:fill="auto"/>
          </w:tcPr>
          <w:p w14:paraId="790A2E7D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0.3721</w:t>
            </w:r>
          </w:p>
        </w:tc>
        <w:tc>
          <w:tcPr>
            <w:tcW w:w="1134" w:type="dxa"/>
            <w:shd w:val="clear" w:color="auto" w:fill="auto"/>
          </w:tcPr>
          <w:p w14:paraId="16A6797C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0.3801</w:t>
            </w:r>
          </w:p>
        </w:tc>
        <w:tc>
          <w:tcPr>
            <w:tcW w:w="1134" w:type="dxa"/>
            <w:shd w:val="clear" w:color="auto" w:fill="auto"/>
          </w:tcPr>
          <w:p w14:paraId="0B8F3822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0.5623</w:t>
            </w:r>
          </w:p>
        </w:tc>
      </w:tr>
      <w:tr w:rsidR="006552B7" w:rsidRPr="006552B7" w14:paraId="5CE8B05B" w14:textId="77777777" w:rsidTr="00E94776">
        <w:tc>
          <w:tcPr>
            <w:tcW w:w="1130" w:type="dxa"/>
          </w:tcPr>
          <w:p w14:paraId="2AE400F5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D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IVER_</w:t>
            </w: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256</w:t>
            </w:r>
          </w:p>
        </w:tc>
        <w:tc>
          <w:tcPr>
            <w:tcW w:w="1138" w:type="dxa"/>
          </w:tcPr>
          <w:p w14:paraId="0805909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0.2895</w:t>
            </w:r>
          </w:p>
        </w:tc>
        <w:tc>
          <w:tcPr>
            <w:tcW w:w="1276" w:type="dxa"/>
          </w:tcPr>
          <w:p w14:paraId="5889E087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0.3357</w:t>
            </w:r>
          </w:p>
        </w:tc>
        <w:tc>
          <w:tcPr>
            <w:tcW w:w="1134" w:type="dxa"/>
          </w:tcPr>
          <w:p w14:paraId="3C7780CC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0.6350</w:t>
            </w:r>
          </w:p>
        </w:tc>
        <w:tc>
          <w:tcPr>
            <w:tcW w:w="1134" w:type="dxa"/>
            <w:shd w:val="clear" w:color="auto" w:fill="auto"/>
          </w:tcPr>
          <w:p w14:paraId="4F94DF36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D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IVER_256</w:t>
            </w:r>
          </w:p>
        </w:tc>
        <w:tc>
          <w:tcPr>
            <w:tcW w:w="1134" w:type="dxa"/>
            <w:shd w:val="clear" w:color="auto" w:fill="auto"/>
          </w:tcPr>
          <w:p w14:paraId="1D43F0F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0.3715</w:t>
            </w:r>
          </w:p>
        </w:tc>
        <w:tc>
          <w:tcPr>
            <w:tcW w:w="1134" w:type="dxa"/>
            <w:shd w:val="clear" w:color="auto" w:fill="auto"/>
          </w:tcPr>
          <w:p w14:paraId="527EE441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0.3843</w:t>
            </w:r>
          </w:p>
        </w:tc>
        <w:tc>
          <w:tcPr>
            <w:tcW w:w="1134" w:type="dxa"/>
            <w:shd w:val="clear" w:color="auto" w:fill="auto"/>
          </w:tcPr>
          <w:p w14:paraId="69076CE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0.50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>60</w:t>
            </w:r>
          </w:p>
        </w:tc>
      </w:tr>
      <w:tr w:rsidR="006552B7" w:rsidRPr="006552B7" w14:paraId="2E299A6C" w14:textId="77777777" w:rsidTr="00E94776">
        <w:tc>
          <w:tcPr>
            <w:tcW w:w="1130" w:type="dxa"/>
          </w:tcPr>
          <w:p w14:paraId="65C26AD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D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IVER_</w:t>
            </w: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512</w:t>
            </w:r>
          </w:p>
        </w:tc>
        <w:tc>
          <w:tcPr>
            <w:tcW w:w="1138" w:type="dxa"/>
          </w:tcPr>
          <w:p w14:paraId="6E8AE8B7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0.3079</w:t>
            </w:r>
          </w:p>
        </w:tc>
        <w:tc>
          <w:tcPr>
            <w:tcW w:w="1276" w:type="dxa"/>
          </w:tcPr>
          <w:p w14:paraId="620EB069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0.3449</w:t>
            </w:r>
          </w:p>
        </w:tc>
        <w:tc>
          <w:tcPr>
            <w:tcW w:w="1134" w:type="dxa"/>
          </w:tcPr>
          <w:p w14:paraId="689296C4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0.5609</w:t>
            </w:r>
          </w:p>
        </w:tc>
        <w:tc>
          <w:tcPr>
            <w:tcW w:w="1134" w:type="dxa"/>
            <w:shd w:val="clear" w:color="auto" w:fill="auto"/>
          </w:tcPr>
          <w:p w14:paraId="5AAEC94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D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IVER_512</w:t>
            </w:r>
          </w:p>
        </w:tc>
        <w:tc>
          <w:tcPr>
            <w:tcW w:w="1134" w:type="dxa"/>
            <w:shd w:val="clear" w:color="auto" w:fill="auto"/>
          </w:tcPr>
          <w:p w14:paraId="7E6B733D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0.3733</w:t>
            </w:r>
          </w:p>
        </w:tc>
        <w:tc>
          <w:tcPr>
            <w:tcW w:w="1134" w:type="dxa"/>
            <w:shd w:val="clear" w:color="auto" w:fill="auto"/>
          </w:tcPr>
          <w:p w14:paraId="7B30E6F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0.3857</w:t>
            </w:r>
          </w:p>
        </w:tc>
        <w:tc>
          <w:tcPr>
            <w:tcW w:w="1134" w:type="dxa"/>
            <w:shd w:val="clear" w:color="auto" w:fill="auto"/>
          </w:tcPr>
          <w:p w14:paraId="1E188817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0.5469</w:t>
            </w:r>
          </w:p>
        </w:tc>
      </w:tr>
      <w:tr w:rsidR="006552B7" w:rsidRPr="006552B7" w14:paraId="406F0AD3" w14:textId="77777777" w:rsidTr="00223698">
        <w:tc>
          <w:tcPr>
            <w:tcW w:w="4648" w:type="dxa"/>
            <w:gridSpan w:val="4"/>
          </w:tcPr>
          <w:p w14:paraId="0D15E054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표3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 xml:space="preserve">. </w:t>
            </w: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 xml:space="preserve">원본 데이터에 대한 모델별 성능 지표 </w:t>
            </w:r>
          </w:p>
        </w:tc>
        <w:tc>
          <w:tcPr>
            <w:tcW w:w="4566" w:type="dxa"/>
            <w:gridSpan w:val="4"/>
          </w:tcPr>
          <w:p w14:paraId="1B4BA7BF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표4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 xml:space="preserve">. </w:t>
            </w: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전처리 데이터에 대한 모델별 성능 지표</w:t>
            </w:r>
          </w:p>
        </w:tc>
      </w:tr>
    </w:tbl>
    <w:p w14:paraId="7EFF2295" w14:textId="77777777" w:rsidR="006552B7" w:rsidRPr="006552B7" w:rsidRDefault="006552B7" w:rsidP="00805A5D">
      <w:p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</w:p>
    <w:tbl>
      <w:tblPr>
        <w:tblStyle w:val="10"/>
        <w:tblW w:w="9214" w:type="dxa"/>
        <w:tblInd w:w="-5" w:type="dxa"/>
        <w:tblLook w:val="04A0" w:firstRow="1" w:lastRow="0" w:firstColumn="1" w:lastColumn="0" w:noHBand="0" w:noVBand="1"/>
      </w:tblPr>
      <w:tblGrid>
        <w:gridCol w:w="2226"/>
        <w:gridCol w:w="2241"/>
        <w:gridCol w:w="2513"/>
        <w:gridCol w:w="2234"/>
      </w:tblGrid>
      <w:tr w:rsidR="006552B7" w:rsidRPr="006552B7" w14:paraId="585CDDF4" w14:textId="77777777" w:rsidTr="006552B7">
        <w:tc>
          <w:tcPr>
            <w:tcW w:w="2226" w:type="dxa"/>
            <w:shd w:val="clear" w:color="auto" w:fill="E7E6E6"/>
          </w:tcPr>
          <w:p w14:paraId="1CDE977B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M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odel</w:t>
            </w:r>
          </w:p>
        </w:tc>
        <w:tc>
          <w:tcPr>
            <w:tcW w:w="2241" w:type="dxa"/>
            <w:shd w:val="clear" w:color="auto" w:fill="E7E6E6"/>
          </w:tcPr>
          <w:p w14:paraId="22660C26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F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1score</w:t>
            </w:r>
          </w:p>
        </w:tc>
        <w:tc>
          <w:tcPr>
            <w:tcW w:w="2513" w:type="dxa"/>
            <w:shd w:val="clear" w:color="auto" w:fill="E7E6E6"/>
          </w:tcPr>
          <w:p w14:paraId="3FECC5B4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 xml:space="preserve">Balanced </w:t>
            </w: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a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ccuracy</w:t>
            </w:r>
          </w:p>
        </w:tc>
        <w:tc>
          <w:tcPr>
            <w:tcW w:w="2234" w:type="dxa"/>
            <w:shd w:val="clear" w:color="auto" w:fill="E7E6E6"/>
          </w:tcPr>
          <w:p w14:paraId="79695132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accuracy</w:t>
            </w:r>
          </w:p>
        </w:tc>
      </w:tr>
      <w:tr w:rsidR="006552B7" w:rsidRPr="006552B7" w14:paraId="7D2AEE8E" w14:textId="77777777" w:rsidTr="006552B7">
        <w:tc>
          <w:tcPr>
            <w:tcW w:w="2226" w:type="dxa"/>
            <w:shd w:val="clear" w:color="auto" w:fill="AEAAAA"/>
          </w:tcPr>
          <w:p w14:paraId="7DBBBDF7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C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NN</w:t>
            </w:r>
          </w:p>
        </w:tc>
        <w:tc>
          <w:tcPr>
            <w:tcW w:w="2241" w:type="dxa"/>
            <w:shd w:val="clear" w:color="auto" w:fill="AEAAAA"/>
          </w:tcPr>
          <w:p w14:paraId="2673B540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0.4025</w:t>
            </w:r>
          </w:p>
        </w:tc>
        <w:tc>
          <w:tcPr>
            <w:tcW w:w="2513" w:type="dxa"/>
            <w:shd w:val="clear" w:color="auto" w:fill="AEAAAA"/>
          </w:tcPr>
          <w:p w14:paraId="3FFD304B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0.4110</w:t>
            </w:r>
          </w:p>
        </w:tc>
        <w:tc>
          <w:tcPr>
            <w:tcW w:w="2234" w:type="dxa"/>
            <w:shd w:val="clear" w:color="auto" w:fill="AEAAAA"/>
          </w:tcPr>
          <w:p w14:paraId="6F327121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0.5026</w:t>
            </w:r>
          </w:p>
        </w:tc>
      </w:tr>
      <w:tr w:rsidR="006552B7" w:rsidRPr="006552B7" w14:paraId="6565BD99" w14:textId="77777777" w:rsidTr="00223698">
        <w:tc>
          <w:tcPr>
            <w:tcW w:w="2226" w:type="dxa"/>
          </w:tcPr>
          <w:p w14:paraId="730EA941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b/>
                <w:szCs w:val="20"/>
              </w:rPr>
              <w:t>L</w:t>
            </w: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STM</w:t>
            </w:r>
          </w:p>
        </w:tc>
        <w:tc>
          <w:tcPr>
            <w:tcW w:w="2241" w:type="dxa"/>
          </w:tcPr>
          <w:p w14:paraId="14802391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>2492</w:t>
            </w:r>
          </w:p>
        </w:tc>
        <w:tc>
          <w:tcPr>
            <w:tcW w:w="2513" w:type="dxa"/>
          </w:tcPr>
          <w:p w14:paraId="12E13C62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0.3333</w:t>
            </w:r>
          </w:p>
        </w:tc>
        <w:tc>
          <w:tcPr>
            <w:tcW w:w="2234" w:type="dxa"/>
          </w:tcPr>
          <w:p w14:paraId="65D632B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0.5969</w:t>
            </w:r>
          </w:p>
        </w:tc>
      </w:tr>
      <w:tr w:rsidR="006552B7" w:rsidRPr="006552B7" w14:paraId="185AA8C6" w14:textId="77777777" w:rsidTr="00223698">
        <w:tc>
          <w:tcPr>
            <w:tcW w:w="2226" w:type="dxa"/>
          </w:tcPr>
          <w:p w14:paraId="0B278C39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b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b/>
                <w:szCs w:val="20"/>
              </w:rPr>
              <w:t>MLP</w:t>
            </w:r>
          </w:p>
        </w:tc>
        <w:tc>
          <w:tcPr>
            <w:tcW w:w="2241" w:type="dxa"/>
          </w:tcPr>
          <w:p w14:paraId="073B20EE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0.2492</w:t>
            </w:r>
          </w:p>
        </w:tc>
        <w:tc>
          <w:tcPr>
            <w:tcW w:w="2513" w:type="dxa"/>
          </w:tcPr>
          <w:p w14:paraId="026B031C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0.3333</w:t>
            </w:r>
          </w:p>
        </w:tc>
        <w:tc>
          <w:tcPr>
            <w:tcW w:w="2234" w:type="dxa"/>
          </w:tcPr>
          <w:p w14:paraId="5E6308EF" w14:textId="77777777" w:rsidR="006552B7" w:rsidRPr="006552B7" w:rsidRDefault="006552B7" w:rsidP="00805A5D">
            <w:pPr>
              <w:jc w:val="center"/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>0.5969</w:t>
            </w:r>
          </w:p>
        </w:tc>
      </w:tr>
      <w:tr w:rsidR="006552B7" w:rsidRPr="006552B7" w14:paraId="28A5B465" w14:textId="77777777" w:rsidTr="00223698">
        <w:tc>
          <w:tcPr>
            <w:tcW w:w="9214" w:type="dxa"/>
            <w:gridSpan w:val="4"/>
          </w:tcPr>
          <w:p w14:paraId="69096648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 xml:space="preserve">표 </w:t>
            </w:r>
            <w:r w:rsidRPr="006552B7">
              <w:rPr>
                <w:rFonts w:ascii="맑은 고딕" w:eastAsia="맑은 고딕" w:hAnsi="맑은 고딕" w:cs="Times New Roman"/>
                <w:szCs w:val="20"/>
              </w:rPr>
              <w:t xml:space="preserve">5. </w:t>
            </w:r>
            <w:r w:rsidRPr="006552B7">
              <w:rPr>
                <w:rFonts w:ascii="맑은 고딕" w:eastAsia="맑은 고딕" w:hAnsi="맑은 고딕" w:cs="Times New Roman" w:hint="eastAsia"/>
                <w:szCs w:val="20"/>
              </w:rPr>
              <w:t xml:space="preserve">주파수 대역 변환 데이터에 대한 모델별 성능 지표 </w:t>
            </w:r>
          </w:p>
        </w:tc>
      </w:tr>
    </w:tbl>
    <w:p w14:paraId="7806512B" w14:textId="77777777" w:rsidR="006552B7" w:rsidRPr="006552B7" w:rsidRDefault="006552B7" w:rsidP="00805A5D">
      <w:p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</w:p>
    <w:p w14:paraId="2564CD98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모델이 제대로 된 학습을 하였다고 보기 위해서는,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Macro-F1 score과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balanced accuracy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가 0.33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33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(무작위 분류)을 능가하여야 한다.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시도한 다양한 모델과 데이터 종류의 조합 중 두 수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lastRenderedPageBreak/>
        <w:t xml:space="preserve">치가 모두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0.33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을 유의미하게 넘어서는 것은,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전처리된 데이터에서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MLP, DIVER_base, DIVER_256, DIVER_512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이고,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주파수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대역 변환 데이터에서 CNN이었다.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이 중 두 수치가 모두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0.4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를 넘어선 것은 전처리 데이터의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MLP,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주파수 대역 변환 데이터의 CNN이었다.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원본 데이터에서는 유의미한 모델 성능이 전혀 나타나지 않았다.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272FF425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비록 뛰어난 성능은 아니지만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해당 모델들에서 유의미한 성능이 나온 것은, 모델들이 각각의 군집들에 대하여 특징적인 뇌파 신호 패턴을 일부 학습하였다는 의미이다.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즉,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생물학적으로 일부 구별할 만한 특성을 가진 군집들이라고 볼 수 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다만 Figure3의 혼동행렬에서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cluster 0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과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cluster 1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의 재현율을 대략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50%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에 이르는 반면,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반면,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cluster 2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의 재현율을 이에 못미치는 것으로 보아 모델이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cluster 2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의 특징적인 뇌파 신호를 학습하는 것에는 부족했다는 것을 알 수 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tbl>
      <w:tblPr>
        <w:tblStyle w:val="10"/>
        <w:tblW w:w="0" w:type="auto"/>
        <w:tblInd w:w="-289" w:type="dxa"/>
        <w:tblLook w:val="04A0" w:firstRow="1" w:lastRow="0" w:firstColumn="1" w:lastColumn="0" w:noHBand="0" w:noVBand="1"/>
      </w:tblPr>
      <w:tblGrid>
        <w:gridCol w:w="4385"/>
        <w:gridCol w:w="4920"/>
      </w:tblGrid>
      <w:tr w:rsidR="006552B7" w:rsidRPr="006552B7" w14:paraId="57FFEF5E" w14:textId="77777777" w:rsidTr="00223698">
        <w:trPr>
          <w:trHeight w:val="2499"/>
        </w:trPr>
        <w:tc>
          <w:tcPr>
            <w:tcW w:w="4416" w:type="dxa"/>
          </w:tcPr>
          <w:p w14:paraId="75B6048F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noProof/>
              </w:rPr>
              <w:drawing>
                <wp:inline distT="0" distB="0" distL="0" distR="0" wp14:anchorId="6F68546F" wp14:editId="107C0AF5">
                  <wp:extent cx="2635129" cy="164782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288" cy="167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  <w:vMerge w:val="restart"/>
          </w:tcPr>
          <w:p w14:paraId="62D9C8F9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noProof/>
              </w:rPr>
              <w:drawing>
                <wp:inline distT="0" distB="0" distL="0" distR="0" wp14:anchorId="01BD0A63" wp14:editId="4C441FFA">
                  <wp:extent cx="3009900" cy="320294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537" cy="323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2B7" w:rsidRPr="006552B7" w14:paraId="4EC545C2" w14:textId="77777777" w:rsidTr="00223698">
        <w:trPr>
          <w:trHeight w:val="2543"/>
        </w:trPr>
        <w:tc>
          <w:tcPr>
            <w:tcW w:w="4416" w:type="dxa"/>
          </w:tcPr>
          <w:p w14:paraId="108ECD1B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  <w:r w:rsidRPr="006552B7">
              <w:rPr>
                <w:rFonts w:ascii="맑은 고딕" w:eastAsia="맑은 고딕" w:hAnsi="맑은 고딕" w:cs="Times New Roman"/>
                <w:noProof/>
              </w:rPr>
              <w:drawing>
                <wp:inline distT="0" distB="0" distL="0" distR="0" wp14:anchorId="6C8B9382" wp14:editId="09DF9F66">
                  <wp:extent cx="2666365" cy="1724025"/>
                  <wp:effectExtent l="0" t="0" r="635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67" cy="174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  <w:vMerge/>
          </w:tcPr>
          <w:p w14:paraId="515F441F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Cs w:val="20"/>
              </w:rPr>
            </w:pPr>
          </w:p>
        </w:tc>
      </w:tr>
      <w:tr w:rsidR="006552B7" w:rsidRPr="006552B7" w14:paraId="2A46DD11" w14:textId="77777777" w:rsidTr="00223698">
        <w:trPr>
          <w:trHeight w:val="276"/>
        </w:trPr>
        <w:tc>
          <w:tcPr>
            <w:tcW w:w="9305" w:type="dxa"/>
            <w:gridSpan w:val="2"/>
          </w:tcPr>
          <w:p w14:paraId="0111FDEB" w14:textId="77777777" w:rsidR="006552B7" w:rsidRPr="006552B7" w:rsidRDefault="006552B7" w:rsidP="00805A5D">
            <w:pPr>
              <w:rPr>
                <w:rFonts w:ascii="맑은 고딕" w:eastAsia="맑은 고딕" w:hAnsi="맑은 고딕" w:cs="Times New Roman"/>
                <w:sz w:val="16"/>
                <w:szCs w:val="16"/>
              </w:rPr>
            </w:pP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Figure3. 최고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 xml:space="preserve">성능을 보인 전처리된 데이터로 학습한 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MLP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모델의 학습 곡선(좌)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,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혼동행렬(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confusion matrix, 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우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>)</w:t>
            </w:r>
            <w:r w:rsidRPr="006552B7">
              <w:rPr>
                <w:rFonts w:ascii="맑은 고딕" w:eastAsia="맑은 고딕" w:hAnsi="맑은 고딕" w:cs="Times New Roman" w:hint="eastAsia"/>
                <w:sz w:val="16"/>
                <w:szCs w:val="16"/>
              </w:rPr>
              <w:t>이다.</w:t>
            </w:r>
            <w:r w:rsidRPr="006552B7">
              <w:rPr>
                <w:rFonts w:ascii="맑은 고딕" w:eastAsia="맑은 고딕" w:hAnsi="맑은 고딕" w:cs="Times New Roman"/>
                <w:sz w:val="16"/>
                <w:szCs w:val="16"/>
              </w:rPr>
              <w:t xml:space="preserve"> </w:t>
            </w:r>
          </w:p>
        </w:tc>
      </w:tr>
    </w:tbl>
    <w:p w14:paraId="7B9B8D98" w14:textId="77777777" w:rsidR="006552B7" w:rsidRPr="006552B7" w:rsidRDefault="006552B7" w:rsidP="00805A5D">
      <w:p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</w:p>
    <w:p w14:paraId="1994034F" w14:textId="77777777" w:rsidR="006552B7" w:rsidRPr="006552B7" w:rsidRDefault="006552B7" w:rsidP="00805A5D">
      <w:pPr>
        <w:numPr>
          <w:ilvl w:val="0"/>
          <w:numId w:val="9"/>
        </w:numPr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연구의 의미 </w:t>
      </w:r>
    </w:p>
    <w:p w14:paraId="5E4FABF7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정신질환에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대한 초진단적 차원의 접근은, 정신질환에 대한 진단을 정해진 기준에 따라 이분법적으로 판단하는 방식에서 탈피하여, 증상으로 나타나는 행동학적 특성과 다양한 생물학적 표지(biomarker)에 의한 생물학적 특성을 가지고 차원적 접근을 시도한다. </w:t>
      </w:r>
    </w:p>
    <w:p w14:paraId="3184FA66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본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연구에서도, 2189명의 환자들의 15가지 정신과적 임상 증상 심각도를 차원으로 삼아 군집화 분석을 하였더니, ICD-10 기반 진단명과 무관한 새로운 3개의 군집들로 아형화할 수 있음을 확인할 수 있었다. 이 군집들은 shillouete score가 0.44에 해당하고 residual value가 0.2169에 해당한다는 점에서, 원본의 특성을 잘 보존하면서 양호하게 분리된 군집들일 뿐만 아니라, 3개의 군집들은 각각 구별되는 독특한 임상 증상을 지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닌다는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것을 보일 수 있었다. 따라서 행동학적 특성에 기반한 초진단적 차원 접근은 상당히 유의미하다고 봄이 타당할 것이다. </w:t>
      </w:r>
    </w:p>
    <w:p w14:paraId="5586E276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lastRenderedPageBreak/>
        <w:t>한편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, 휴지기 뇌파라는 생물학적 특성에 대해서도 초진단적 차원의 접근을 해보기 위해 다양한 데이터의 종류와 딥러닝 모델을 조합하여 군집을 예측하는 학습을 수행해 보았다. 그중 가장 성능이 좋았던 것이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전처리 데이터로 학습한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MLP로서, 무작위 분류에서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해당하는 수치를 능가하였다.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이는 딥러닝 모델이 군집들 간에 구별되는 뇌파 신호 패턴의 일부를 학습하였다는 것이므로, 임상 증상에 기반하여 군집화한 군집 간에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서로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다른 생물학적 특성이 있음은 분명하다. EEG 데이터를 다섯 개의 주파수 대역 신호로 변환하여 학습시킨 경우에는, 최고 성능을 보인 모델이 CNN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으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로서,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 xml:space="preserve">마찬가지로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무작위 분류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를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넘어서는 성능을 보였다. 이는 EEG 데이터 뿐만 아니라 주파수 대역으로 변환한 데이터도 초진단적 차원의 접근을 위한 생체 지표로서 가능성이 있음을 의미한다.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다만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marco(), bal()라는 수치는 무작위 분류를 다소 능가하는 정도로서, 뇌파만 가지고 이 군집들을 높은 정확도로 분리할 수 있다거나 이 군집들 간에 상당한 정도의 생물학적 특성 차이가 있다고 결론 내리기는 어려울 것이다. </w:t>
      </w:r>
    </w:p>
    <w:p w14:paraId="32AAA6AE" w14:textId="0BCA416E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휴지기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뇌파 데이터에 대한 모델들의 최고 성능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에 한계가 있었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던 이유로 다음과 같은 </w:t>
      </w:r>
      <w:r w:rsidR="00E94776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근거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들을 들 수 있을 것이다. 우선 뇌파는 고도의 시간적 해상도를 지니지만, 뇌의 영역 간 복잡한 상호작용을 포착할 수 있는 공간적 해상도는 fmri, PET-CT 등 다른 뇌영상 데이터에 비해 상당히 떨어진다. 뇌파는 그 특성상, 뇌의 피질(cortex)에서 발생하는 전기적 신호를 추출하는 것이라 뇌의 안쪽 영역에서 발생하는 정보의 추출은 제한되기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때문이다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. 그러한 점에서 뇌파는 fmri, PET-CT 등 다른 뇌영상 데이터와 상호보완적 관계를 지닌다고 하며</w:t>
      </w:r>
      <w:r w:rsidR="00DB0CDE">
        <w:rPr>
          <w:rStyle w:val="ae"/>
          <w:rFonts w:ascii="맑은 고딕" w:eastAsia="맑은 고딕" w:hAnsi="맑은 고딕" w:cs="Times New Roman"/>
          <w:sz w:val="20"/>
          <w:szCs w:val="20"/>
          <w14:ligatures w14:val="none"/>
        </w:rPr>
        <w:endnoteReference w:id="9"/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, 이러한 한계를 극복하기 위해 뇌파를 다른 뇌영상 데이터와 결합하여 해석하는 방법이 제안되기도 한다</w:t>
      </w:r>
      <w:r w:rsidR="00DB0CDE">
        <w:rPr>
          <w:rStyle w:val="ae"/>
          <w:rFonts w:ascii="맑은 고딕" w:eastAsia="맑은 고딕" w:hAnsi="맑은 고딕" w:cs="Times New Roman"/>
          <w:sz w:val="20"/>
          <w:szCs w:val="20"/>
          <w14:ligatures w14:val="none"/>
        </w:rPr>
        <w:endnoteReference w:id="10"/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.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그리고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서로 다른 군집들이 구별되는 임상 증상을 가진다고 해서, 이것이 생물학적 특성의 차이로 이어질 것이라고 보장할 수는 없고, 뇌의 피질(cortex)의 전기적 활동을 기록하는 뇌파의 경우 더욱 그러할 것이다.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이러한 이유들에 의해 뇌파 데이터 기반의 군집 예측에 높은 성능 달성은 한계가 있었을 것이다.</w:t>
      </w:r>
    </w:p>
    <w:p w14:paraId="57C92492" w14:textId="234F9499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>모델의 성능 차이를 살펴보면, 전처리된 EEG 데이터로 학습된 경우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가 원본 데이터에 비해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모델의 성능이 높다는 것이 확인된다. 원본</w:t>
      </w:r>
      <w:r w:rsidR="00E94776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데이터로 학습한 모델의 경우, 대부분의 데이터를 cluster 0으로 예측함으로써, cluster 1과 cluster 2의 재현율이 매우 낮았고, cluster 2 경우 재현율이 0인 경우도 있었던 반면에, 전처리된 EEG 데이터로 학습한 모델의 cluster 0과 cluster 1의 재현율은 상승하였다. 이는 모델이 크기가 큰 군집들만 예측하는 경향에서 벗어나, 군집들 간의 미묘한 EEG 신호의 차이를 포착하여 학습하기 시작하였다는 것을 시사한다. 즉 학습에 장애가 되는 노이즈가 많은 원본 데이터보다 전처리된 데이터가 타당한 생체 지표로서 더욱 적합하다는 것이다. </w:t>
      </w:r>
    </w:p>
    <w:p w14:paraId="5A8CDA31" w14:textId="77777777" w:rsidR="006552B7" w:rsidRPr="006552B7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전처리된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데이터로 학습한 모델의 경우에도 cluster 0의 재현율이 다른 군집에 비하여 높기는 하다. 이것은 모델의 한계라고 해석할 수도 있지만, 다른 한편으로는 불안/우울/신체 증상이 우세한 cluster 0이 가장 보편적이고 널리 가지고 있는 EEG 패턴을 점유한 집단이며, 모델이 이러한 패턴을 강하게 학습하였기 때문이라고 해석할 수도 있다. </w:t>
      </w:r>
    </w:p>
    <w:p w14:paraId="6AA9E775" w14:textId="13216DDD" w:rsidR="00E94776" w:rsidRDefault="006552B7" w:rsidP="00E94776">
      <w:pPr>
        <w:ind w:firstLineChars="400" w:firstLine="800"/>
        <w:jc w:val="both"/>
        <w:rPr>
          <w:rFonts w:ascii="맑은 고딕" w:eastAsia="맑은 고딕" w:hAnsi="맑은 고딕" w:cs="Times New Roman"/>
          <w:sz w:val="20"/>
          <w:szCs w:val="20"/>
          <w14:ligatures w14:val="none"/>
        </w:rPr>
      </w:pP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본 연구는 증상 기반의 행동학적 특성에 더하여 뇌파 신호로 발현되는 생물학적 특성까지도 정신질환의 초진단적 차원의 접근을 가능하게 하는 하나의 지표로 확인하였다는 의미가 있다.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이는 뇌파 신호와 더불어 고도의 공간적 해상도를 지닌 다른 데이터와 결합한다면 더욱 정확한 차원적 접근을 통해 개인별 특성에 맞춘 진단과 치료를 제공함으로써, 정신질환에 대한 높은 치료효과와 예후 향상 및 조기예방을 도모하여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, </w:t>
      </w:r>
      <w:r w:rsidRPr="006552B7"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t>정밀의료 실현의 첫걸음이 될 수 있을 것이다.</w:t>
      </w:r>
      <w:r w:rsidRPr="006552B7">
        <w:rPr>
          <w:rFonts w:ascii="맑은 고딕" w:eastAsia="맑은 고딕" w:hAnsi="맑은 고딕" w:cs="Times New Roman"/>
          <w:sz w:val="20"/>
          <w:szCs w:val="20"/>
          <w14:ligatures w14:val="none"/>
        </w:rPr>
        <w:t xml:space="preserve"> </w:t>
      </w:r>
    </w:p>
    <w:p w14:paraId="3460B2BD" w14:textId="334D7A11" w:rsidR="00E94776" w:rsidRPr="00E94776" w:rsidRDefault="00E94776" w:rsidP="00E94776">
      <w:pPr>
        <w:jc w:val="both"/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</w:pPr>
      <w:r>
        <w:rPr>
          <w:rFonts w:ascii="맑은 고딕" w:eastAsia="맑은 고딕" w:hAnsi="맑은 고딕" w:cs="Times New Roman" w:hint="eastAsia"/>
          <w:sz w:val="20"/>
          <w:szCs w:val="20"/>
          <w14:ligatures w14:val="none"/>
        </w:rPr>
        <w:lastRenderedPageBreak/>
        <w:t xml:space="preserve">참고문헌 </w:t>
      </w:r>
      <w:bookmarkStart w:id="0" w:name="_GoBack"/>
      <w:bookmarkEnd w:id="0"/>
    </w:p>
    <w:sectPr w:rsidR="00E94776" w:rsidRPr="00E947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7CD798" w14:textId="77777777" w:rsidR="000262B8" w:rsidRDefault="000262B8" w:rsidP="006552B7">
      <w:pPr>
        <w:spacing w:after="0"/>
      </w:pPr>
      <w:r>
        <w:separator/>
      </w:r>
    </w:p>
  </w:endnote>
  <w:endnote w:type="continuationSeparator" w:id="0">
    <w:p w14:paraId="4191E702" w14:textId="77777777" w:rsidR="000262B8" w:rsidRDefault="000262B8" w:rsidP="006552B7">
      <w:pPr>
        <w:spacing w:after="0"/>
      </w:pPr>
      <w:r>
        <w:continuationSeparator/>
      </w:r>
    </w:p>
  </w:endnote>
  <w:endnote w:id="1">
    <w:p w14:paraId="204D98AD" w14:textId="70A5A80F" w:rsidR="00DB0CDE" w:rsidRPr="00DB0CDE" w:rsidRDefault="00DB0CDE" w:rsidP="00DB0CDE">
      <w:pPr>
        <w:pStyle w:val="EndNoteBibliography"/>
        <w:spacing w:after="0" w:line="480" w:lineRule="auto"/>
        <w:ind w:left="720" w:hanging="720"/>
        <w:rPr>
          <w:rFonts w:ascii="Times New Roman" w:hAnsi="Times New Roman" w:cs="Times New Roman" w:hint="eastAsia"/>
          <w:sz w:val="24"/>
          <w:szCs w:val="24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  <w:szCs w:val="24"/>
        </w:rPr>
        <w:t>Pelin H, Ising M, Stein F</w:t>
      </w:r>
      <w:r w:rsidRPr="005A0680">
        <w:rPr>
          <w:rFonts w:ascii="Times New Roman" w:hAnsi="Times New Roman" w:cs="Times New Roman"/>
          <w:i/>
          <w:sz w:val="24"/>
          <w:szCs w:val="24"/>
        </w:rPr>
        <w:t xml:space="preserve"> et al.</w:t>
      </w:r>
      <w:r w:rsidRPr="005A0680">
        <w:rPr>
          <w:rFonts w:ascii="Times New Roman" w:hAnsi="Times New Roman" w:cs="Times New Roman"/>
          <w:sz w:val="24"/>
          <w:szCs w:val="24"/>
        </w:rPr>
        <w:t xml:space="preserve"> Identification of transdiagnostic psychiatric disorder subtypes using unsupervised learning. </w:t>
      </w:r>
      <w:r w:rsidRPr="005A0680">
        <w:rPr>
          <w:rFonts w:ascii="Times New Roman" w:hAnsi="Times New Roman" w:cs="Times New Roman"/>
          <w:i/>
          <w:sz w:val="24"/>
          <w:szCs w:val="24"/>
        </w:rPr>
        <w:t>Neuropsychopharmacology</w:t>
      </w:r>
      <w:r w:rsidRPr="005A0680">
        <w:rPr>
          <w:rFonts w:ascii="Times New Roman" w:hAnsi="Times New Roman" w:cs="Times New Roman"/>
          <w:sz w:val="24"/>
          <w:szCs w:val="24"/>
        </w:rPr>
        <w:t xml:space="preserve"> 2021; </w:t>
      </w:r>
      <w:r w:rsidRPr="005A0680">
        <w:rPr>
          <w:rFonts w:ascii="Times New Roman" w:hAnsi="Times New Roman" w:cs="Times New Roman"/>
          <w:b/>
          <w:sz w:val="24"/>
          <w:szCs w:val="24"/>
        </w:rPr>
        <w:t>46:</w:t>
      </w:r>
      <w:r w:rsidRPr="005A0680">
        <w:rPr>
          <w:rFonts w:ascii="Times New Roman" w:hAnsi="Times New Roman" w:cs="Times New Roman"/>
          <w:sz w:val="24"/>
          <w:szCs w:val="24"/>
        </w:rPr>
        <w:t xml:space="preserve"> 1895-1905.</w:t>
      </w:r>
    </w:p>
  </w:endnote>
  <w:endnote w:id="2">
    <w:p w14:paraId="1FFEAC00" w14:textId="1D053A89" w:rsidR="00DB0CDE" w:rsidRDefault="00DB0CDE">
      <w:pPr>
        <w:pStyle w:val="ad"/>
        <w:rPr>
          <w:rFonts w:hint="eastAsia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 xml:space="preserve">Meltzer HY. Treatment-resistant schizophrenia - the role of clozapine. </w:t>
      </w:r>
      <w:r w:rsidRPr="005A0680">
        <w:rPr>
          <w:rFonts w:ascii="Times New Roman" w:hAnsi="Times New Roman" w:cs="Times New Roman"/>
          <w:i/>
          <w:sz w:val="24"/>
        </w:rPr>
        <w:t>Curr. Med. Res. Opin.</w:t>
      </w:r>
      <w:r w:rsidRPr="005A0680">
        <w:rPr>
          <w:rFonts w:ascii="Times New Roman" w:hAnsi="Times New Roman" w:cs="Times New Roman"/>
          <w:sz w:val="24"/>
        </w:rPr>
        <w:t xml:space="preserve"> 1997; </w:t>
      </w:r>
      <w:r w:rsidRPr="005A0680">
        <w:rPr>
          <w:rFonts w:ascii="Times New Roman" w:hAnsi="Times New Roman" w:cs="Times New Roman"/>
          <w:b/>
          <w:sz w:val="24"/>
        </w:rPr>
        <w:t>14:</w:t>
      </w:r>
      <w:r w:rsidRPr="005A0680">
        <w:rPr>
          <w:rFonts w:ascii="Times New Roman" w:hAnsi="Times New Roman" w:cs="Times New Roman"/>
          <w:sz w:val="24"/>
        </w:rPr>
        <w:t xml:space="preserve"> 1-20.</w:t>
      </w:r>
    </w:p>
  </w:endnote>
  <w:endnote w:id="3">
    <w:p w14:paraId="24EA0565" w14:textId="54E9606A" w:rsidR="00DB0CDE" w:rsidRDefault="00DB0CDE">
      <w:pPr>
        <w:pStyle w:val="ad"/>
        <w:rPr>
          <w:rFonts w:hint="eastAsia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 xml:space="preserve">Fava M. Diagnosis and definition of treatment-resistant depression. </w:t>
      </w:r>
      <w:r w:rsidRPr="005A0680">
        <w:rPr>
          <w:rFonts w:ascii="Times New Roman" w:hAnsi="Times New Roman" w:cs="Times New Roman"/>
          <w:i/>
          <w:sz w:val="24"/>
        </w:rPr>
        <w:t>Biol. Psychiatry</w:t>
      </w:r>
      <w:r w:rsidRPr="005A0680">
        <w:rPr>
          <w:rFonts w:ascii="Times New Roman" w:hAnsi="Times New Roman" w:cs="Times New Roman"/>
          <w:sz w:val="24"/>
        </w:rPr>
        <w:t xml:space="preserve"> 2003; </w:t>
      </w:r>
      <w:r w:rsidRPr="005A0680">
        <w:rPr>
          <w:rFonts w:ascii="Times New Roman" w:hAnsi="Times New Roman" w:cs="Times New Roman"/>
          <w:b/>
          <w:sz w:val="24"/>
        </w:rPr>
        <w:t>53:</w:t>
      </w:r>
      <w:r w:rsidRPr="005A0680">
        <w:rPr>
          <w:rFonts w:ascii="Times New Roman" w:hAnsi="Times New Roman" w:cs="Times New Roman"/>
          <w:sz w:val="24"/>
        </w:rPr>
        <w:t xml:space="preserve"> 649-659.</w:t>
      </w:r>
    </w:p>
  </w:endnote>
  <w:endnote w:id="4">
    <w:p w14:paraId="73EC3FFF" w14:textId="23F7CF3F" w:rsidR="00DB0CDE" w:rsidRPr="00DB0CDE" w:rsidRDefault="00DB0CDE" w:rsidP="00DB0CDE">
      <w:pPr>
        <w:pStyle w:val="EndNoteBibliography"/>
        <w:spacing w:after="0" w:line="480" w:lineRule="auto"/>
        <w:ind w:left="720" w:hanging="720"/>
        <w:rPr>
          <w:rFonts w:ascii="Times New Roman" w:hAnsi="Times New Roman" w:cs="Times New Roman" w:hint="eastAsia"/>
          <w:sz w:val="24"/>
          <w:szCs w:val="24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  <w:szCs w:val="24"/>
        </w:rPr>
        <w:t>2.</w:t>
      </w:r>
      <w:r w:rsidRPr="005A0680">
        <w:rPr>
          <w:rFonts w:ascii="Times New Roman" w:hAnsi="Times New Roman" w:cs="Times New Roman"/>
          <w:sz w:val="24"/>
          <w:szCs w:val="24"/>
        </w:rPr>
        <w:tab/>
        <w:t xml:space="preserve">Birchwood M, Todd P, Jackson C. Early intervention in psychosis. The critical period hypothesis. </w:t>
      </w:r>
      <w:r w:rsidRPr="005A0680">
        <w:rPr>
          <w:rFonts w:ascii="Times New Roman" w:hAnsi="Times New Roman" w:cs="Times New Roman"/>
          <w:i/>
          <w:sz w:val="24"/>
          <w:szCs w:val="24"/>
        </w:rPr>
        <w:t>Br. J. Psychiatry Suppl.</w:t>
      </w:r>
      <w:r w:rsidRPr="005A0680">
        <w:rPr>
          <w:rFonts w:ascii="Times New Roman" w:hAnsi="Times New Roman" w:cs="Times New Roman"/>
          <w:sz w:val="24"/>
          <w:szCs w:val="24"/>
        </w:rPr>
        <w:t xml:space="preserve"> 1998; </w:t>
      </w:r>
      <w:r w:rsidRPr="005A0680">
        <w:rPr>
          <w:rFonts w:ascii="Times New Roman" w:hAnsi="Times New Roman" w:cs="Times New Roman"/>
          <w:b/>
          <w:sz w:val="24"/>
          <w:szCs w:val="24"/>
        </w:rPr>
        <w:t>172:</w:t>
      </w:r>
      <w:r w:rsidRPr="005A0680">
        <w:rPr>
          <w:rFonts w:ascii="Times New Roman" w:hAnsi="Times New Roman" w:cs="Times New Roman"/>
          <w:sz w:val="24"/>
          <w:szCs w:val="24"/>
        </w:rPr>
        <w:t xml:space="preserve"> 53-59.</w:t>
      </w:r>
    </w:p>
  </w:endnote>
  <w:endnote w:id="5">
    <w:p w14:paraId="5FE86682" w14:textId="1CDC82A4" w:rsidR="00DB0CDE" w:rsidRPr="00DB0CDE" w:rsidRDefault="00DB0CDE" w:rsidP="00DB0CDE">
      <w:pPr>
        <w:pStyle w:val="EndNoteBibliography"/>
        <w:spacing w:after="0" w:line="480" w:lineRule="auto"/>
        <w:ind w:left="720" w:hanging="720"/>
        <w:rPr>
          <w:rFonts w:ascii="Times New Roman" w:hAnsi="Times New Roman" w:cs="Times New Roman" w:hint="eastAsia"/>
          <w:sz w:val="24"/>
          <w:szCs w:val="24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  <w:szCs w:val="24"/>
        </w:rPr>
        <w:t>2.</w:t>
      </w:r>
      <w:r w:rsidRPr="005A0680">
        <w:rPr>
          <w:rFonts w:ascii="Times New Roman" w:hAnsi="Times New Roman" w:cs="Times New Roman"/>
          <w:sz w:val="24"/>
          <w:szCs w:val="24"/>
        </w:rPr>
        <w:tab/>
        <w:t xml:space="preserve">Birchwood M, Todd P, Jackson C. Early intervention in psychosis. The critical period hypothesis. </w:t>
      </w:r>
      <w:r w:rsidRPr="005A0680">
        <w:rPr>
          <w:rFonts w:ascii="Times New Roman" w:hAnsi="Times New Roman" w:cs="Times New Roman"/>
          <w:i/>
          <w:sz w:val="24"/>
          <w:szCs w:val="24"/>
        </w:rPr>
        <w:t>Br. J. Psychiatry Suppl.</w:t>
      </w:r>
      <w:r w:rsidRPr="005A0680">
        <w:rPr>
          <w:rFonts w:ascii="Times New Roman" w:hAnsi="Times New Roman" w:cs="Times New Roman"/>
          <w:sz w:val="24"/>
          <w:szCs w:val="24"/>
        </w:rPr>
        <w:t xml:space="preserve"> 1998; </w:t>
      </w:r>
      <w:r w:rsidRPr="005A0680">
        <w:rPr>
          <w:rFonts w:ascii="Times New Roman" w:hAnsi="Times New Roman" w:cs="Times New Roman"/>
          <w:b/>
          <w:sz w:val="24"/>
          <w:szCs w:val="24"/>
        </w:rPr>
        <w:t>172:</w:t>
      </w:r>
      <w:r w:rsidRPr="005A0680">
        <w:rPr>
          <w:rFonts w:ascii="Times New Roman" w:hAnsi="Times New Roman" w:cs="Times New Roman"/>
          <w:sz w:val="24"/>
          <w:szCs w:val="24"/>
        </w:rPr>
        <w:t xml:space="preserve"> 53-59.</w:t>
      </w:r>
    </w:p>
  </w:endnote>
  <w:endnote w:id="6">
    <w:p w14:paraId="19321737" w14:textId="6DD153EB" w:rsidR="00DB0CDE" w:rsidRPr="00DB0CDE" w:rsidRDefault="00DB0CDE">
      <w:pPr>
        <w:pStyle w:val="ad"/>
        <w:rPr>
          <w:rFonts w:hint="eastAsia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>Kim M, Kwak S, Yoon YB</w:t>
      </w:r>
      <w:r w:rsidRPr="005A0680">
        <w:rPr>
          <w:rFonts w:ascii="Times New Roman" w:hAnsi="Times New Roman" w:cs="Times New Roman"/>
          <w:i/>
          <w:sz w:val="24"/>
        </w:rPr>
        <w:t xml:space="preserve"> et al.</w:t>
      </w:r>
      <w:r w:rsidRPr="005A0680">
        <w:rPr>
          <w:rFonts w:ascii="Times New Roman" w:hAnsi="Times New Roman" w:cs="Times New Roman"/>
          <w:sz w:val="24"/>
        </w:rPr>
        <w:t xml:space="preserve"> Functional connectivity of the raphe nucleus as a predictor of the response to selective serotonin reuptake inhibitors in obsessive-compulsive disorder. </w:t>
      </w:r>
      <w:r w:rsidRPr="005A0680">
        <w:rPr>
          <w:rFonts w:ascii="Times New Roman" w:hAnsi="Times New Roman" w:cs="Times New Roman"/>
          <w:i/>
          <w:sz w:val="24"/>
        </w:rPr>
        <w:t>Neuropsychopharmacology</w:t>
      </w:r>
      <w:r w:rsidRPr="005A0680">
        <w:rPr>
          <w:rFonts w:ascii="Times New Roman" w:hAnsi="Times New Roman" w:cs="Times New Roman"/>
          <w:sz w:val="24"/>
        </w:rPr>
        <w:t xml:space="preserve"> 2019; </w:t>
      </w:r>
      <w:r w:rsidRPr="005A0680">
        <w:rPr>
          <w:rFonts w:ascii="Times New Roman" w:hAnsi="Times New Roman" w:cs="Times New Roman"/>
          <w:b/>
          <w:sz w:val="24"/>
        </w:rPr>
        <w:t>44:</w:t>
      </w:r>
      <w:r w:rsidRPr="005A0680">
        <w:rPr>
          <w:rFonts w:ascii="Times New Roman" w:hAnsi="Times New Roman" w:cs="Times New Roman"/>
          <w:sz w:val="24"/>
        </w:rPr>
        <w:t xml:space="preserve"> 2073-2081.</w:t>
      </w:r>
    </w:p>
  </w:endnote>
  <w:endnote w:id="7">
    <w:p w14:paraId="2093BD6C" w14:textId="6A5EE98E" w:rsidR="00DB0CDE" w:rsidRDefault="00DB0CDE">
      <w:pPr>
        <w:pStyle w:val="ad"/>
        <w:rPr>
          <w:rFonts w:hint="eastAsia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>Min B, Kim M, Lee J</w:t>
      </w:r>
      <w:r w:rsidRPr="005A0680">
        <w:rPr>
          <w:rFonts w:ascii="Times New Roman" w:hAnsi="Times New Roman" w:cs="Times New Roman"/>
          <w:i/>
          <w:sz w:val="24"/>
        </w:rPr>
        <w:t xml:space="preserve"> et al.</w:t>
      </w:r>
      <w:r w:rsidRPr="005A0680">
        <w:rPr>
          <w:rFonts w:ascii="Times New Roman" w:hAnsi="Times New Roman" w:cs="Times New Roman"/>
          <w:sz w:val="24"/>
        </w:rPr>
        <w:t xml:space="preserve"> Prediction of individual responses to electroconvulsive therapy in patients with schizophrenia: Machine learning analysis of resting-state electroencephalography. </w:t>
      </w:r>
      <w:r w:rsidRPr="005A0680">
        <w:rPr>
          <w:rFonts w:ascii="Times New Roman" w:hAnsi="Times New Roman" w:cs="Times New Roman"/>
          <w:i/>
          <w:sz w:val="24"/>
        </w:rPr>
        <w:t>Schizophr. Res.</w:t>
      </w:r>
      <w:r w:rsidRPr="005A0680">
        <w:rPr>
          <w:rFonts w:ascii="Times New Roman" w:hAnsi="Times New Roman" w:cs="Times New Roman"/>
          <w:sz w:val="24"/>
        </w:rPr>
        <w:t xml:space="preserve"> 2020; </w:t>
      </w:r>
      <w:r w:rsidRPr="005A0680">
        <w:rPr>
          <w:rFonts w:ascii="Times New Roman" w:hAnsi="Times New Roman" w:cs="Times New Roman"/>
          <w:b/>
          <w:sz w:val="24"/>
        </w:rPr>
        <w:t>216:</w:t>
      </w:r>
      <w:r w:rsidRPr="005A0680">
        <w:rPr>
          <w:rFonts w:ascii="Times New Roman" w:hAnsi="Times New Roman" w:cs="Times New Roman"/>
          <w:sz w:val="24"/>
        </w:rPr>
        <w:t xml:space="preserve"> 147-153.</w:t>
      </w:r>
    </w:p>
  </w:endnote>
  <w:endnote w:id="8">
    <w:p w14:paraId="2ECFAFAC" w14:textId="2F10D1CD" w:rsidR="00DB0CDE" w:rsidRPr="00DB0CDE" w:rsidRDefault="00DB0CDE" w:rsidP="00DB0CDE">
      <w:pPr>
        <w:wordWrap/>
        <w:spacing w:line="480" w:lineRule="auto"/>
        <w:contextualSpacing/>
        <w:rPr>
          <w:rFonts w:ascii="Times New Roman" w:hAnsi="Times New Roman" w:cs="Times New Roman" w:hint="eastAsia"/>
          <w:b/>
          <w:sz w:val="24"/>
          <w:szCs w:val="32"/>
        </w:rPr>
      </w:pPr>
      <w:r>
        <w:rPr>
          <w:rStyle w:val="ae"/>
        </w:rPr>
        <w:endnoteRef/>
      </w:r>
      <w:r>
        <w:t xml:space="preserve"> Mina Kim, </w:t>
      </w:r>
      <w:r w:rsidRPr="00DB0CDE">
        <w:rPr>
          <w:rFonts w:ascii="Times New Roman" w:hAnsi="Times New Roman" w:cs="Times New Roman"/>
          <w:sz w:val="24"/>
          <w:szCs w:val="32"/>
        </w:rPr>
        <w:t>Resting-state theta phase-gamma amplitude coupling as a biomarker for the transdiagnostic dimensional approach in psychiatric disorders</w:t>
      </w:r>
      <w:r>
        <w:rPr>
          <w:rFonts w:ascii="Times New Roman" w:hAnsi="Times New Roman" w:cs="Times New Roman"/>
          <w:sz w:val="24"/>
          <w:szCs w:val="32"/>
        </w:rPr>
        <w:t xml:space="preserve">, </w:t>
      </w:r>
      <w:r w:rsidRPr="005A0680">
        <w:rPr>
          <w:rFonts w:ascii="Times New Roman" w:hAnsi="Times New Roman" w:cs="Times New Roman"/>
          <w:i/>
          <w:sz w:val="24"/>
        </w:rPr>
        <w:t>Schizophr. Res.</w:t>
      </w:r>
      <w:r>
        <w:rPr>
          <w:rFonts w:ascii="Times New Roman" w:hAnsi="Times New Roman" w:cs="Times New Roman"/>
          <w:i/>
          <w:sz w:val="24"/>
        </w:rPr>
        <w:t xml:space="preserve"> 2022</w:t>
      </w:r>
    </w:p>
  </w:endnote>
  <w:endnote w:id="9">
    <w:p w14:paraId="7355DD14" w14:textId="429FE969" w:rsidR="00DB0CDE" w:rsidRDefault="00DB0CDE">
      <w:pPr>
        <w:pStyle w:val="ad"/>
        <w:rPr>
          <w:rFonts w:hint="eastAsia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ab/>
        <w:t xml:space="preserve">Pascual-Marqui RD. Standardized low-resolution brain electromagnetic tomography (sLORETA): Technical details. </w:t>
      </w:r>
      <w:r w:rsidRPr="005A0680">
        <w:rPr>
          <w:rFonts w:ascii="Times New Roman" w:hAnsi="Times New Roman" w:cs="Times New Roman"/>
          <w:i/>
          <w:sz w:val="24"/>
        </w:rPr>
        <w:t>Methods Find. Exp. Clin. Pharmacol.</w:t>
      </w:r>
      <w:r w:rsidRPr="005A0680">
        <w:rPr>
          <w:rFonts w:ascii="Times New Roman" w:hAnsi="Times New Roman" w:cs="Times New Roman"/>
          <w:sz w:val="24"/>
        </w:rPr>
        <w:t xml:space="preserve"> 2002; </w:t>
      </w:r>
      <w:r w:rsidRPr="005A0680">
        <w:rPr>
          <w:rFonts w:ascii="Times New Roman" w:hAnsi="Times New Roman" w:cs="Times New Roman"/>
          <w:b/>
          <w:sz w:val="24"/>
        </w:rPr>
        <w:t>24:</w:t>
      </w:r>
      <w:r w:rsidRPr="005A0680">
        <w:rPr>
          <w:rFonts w:ascii="Times New Roman" w:hAnsi="Times New Roman" w:cs="Times New Roman"/>
          <w:sz w:val="24"/>
        </w:rPr>
        <w:t xml:space="preserve"> 5-12.</w:t>
      </w:r>
    </w:p>
  </w:endnote>
  <w:endnote w:id="10">
    <w:p w14:paraId="693CDC18" w14:textId="55B2342A" w:rsidR="00DB0CDE" w:rsidRDefault="00DB0CDE">
      <w:pPr>
        <w:pStyle w:val="ad"/>
        <w:rPr>
          <w:rFonts w:hint="eastAsia"/>
        </w:rPr>
      </w:pPr>
      <w:r>
        <w:rPr>
          <w:rStyle w:val="a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ab/>
        <w:t xml:space="preserve">Pascual-Marqui RD. Standardized low-resolution brain electromagnetic tomography (sLORETA): Technical details. </w:t>
      </w:r>
      <w:r w:rsidRPr="005A0680">
        <w:rPr>
          <w:rFonts w:ascii="Times New Roman" w:hAnsi="Times New Roman" w:cs="Times New Roman"/>
          <w:i/>
          <w:sz w:val="24"/>
        </w:rPr>
        <w:t>Methods Find. Exp. Clin. Pharmacol.</w:t>
      </w:r>
      <w:r w:rsidRPr="005A0680">
        <w:rPr>
          <w:rFonts w:ascii="Times New Roman" w:hAnsi="Times New Roman" w:cs="Times New Roman"/>
          <w:sz w:val="24"/>
        </w:rPr>
        <w:t xml:space="preserve"> 2002; </w:t>
      </w:r>
      <w:r w:rsidRPr="005A0680">
        <w:rPr>
          <w:rFonts w:ascii="Times New Roman" w:hAnsi="Times New Roman" w:cs="Times New Roman"/>
          <w:b/>
          <w:sz w:val="24"/>
        </w:rPr>
        <w:t>24:</w:t>
      </w:r>
      <w:r w:rsidRPr="005A0680">
        <w:rPr>
          <w:rFonts w:ascii="Times New Roman" w:hAnsi="Times New Roman" w:cs="Times New Roman"/>
          <w:sz w:val="24"/>
        </w:rPr>
        <w:t xml:space="preserve"> 5-12.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4C0659" w14:textId="77777777" w:rsidR="000262B8" w:rsidRDefault="000262B8" w:rsidP="006552B7">
      <w:pPr>
        <w:spacing w:after="0"/>
      </w:pPr>
      <w:r>
        <w:separator/>
      </w:r>
    </w:p>
  </w:footnote>
  <w:footnote w:type="continuationSeparator" w:id="0">
    <w:p w14:paraId="34E31589" w14:textId="77777777" w:rsidR="000262B8" w:rsidRDefault="000262B8" w:rsidP="006552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1A61241B"/>
    <w:multiLevelType w:val="hybridMultilevel"/>
    <w:tmpl w:val="9C74BA56"/>
    <w:lvl w:ilvl="0" w:tplc="C7F48FA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1D2C4A43"/>
    <w:multiLevelType w:val="hybridMultilevel"/>
    <w:tmpl w:val="78945C84"/>
    <w:lvl w:ilvl="0" w:tplc="19D6945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192BE3"/>
    <w:multiLevelType w:val="hybridMultilevel"/>
    <w:tmpl w:val="086E9EC8"/>
    <w:lvl w:ilvl="0" w:tplc="476A2A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284BA6"/>
    <w:multiLevelType w:val="hybridMultilevel"/>
    <w:tmpl w:val="3CF05084"/>
    <w:lvl w:ilvl="0" w:tplc="C3227154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>
    <w:nsid w:val="5E2466AA"/>
    <w:multiLevelType w:val="hybridMultilevel"/>
    <w:tmpl w:val="3CF05084"/>
    <w:lvl w:ilvl="0" w:tplc="C3227154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9"/>
  </w:num>
  <w:num w:numId="7">
    <w:abstractNumId w:val="6"/>
  </w:num>
  <w:num w:numId="8">
    <w:abstractNumId w:val="8"/>
  </w:num>
  <w:num w:numId="9">
    <w:abstractNumId w:val="7"/>
  </w:num>
  <w:num w:numId="10">
    <w:abstractNumId w:val="2"/>
  </w:num>
  <w:num w:numId="11">
    <w:abstractNumId w:val="1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5A5"/>
    <w:rsid w:val="000262B8"/>
    <w:rsid w:val="00132E36"/>
    <w:rsid w:val="00203572"/>
    <w:rsid w:val="00223698"/>
    <w:rsid w:val="00320A10"/>
    <w:rsid w:val="0035123B"/>
    <w:rsid w:val="00594030"/>
    <w:rsid w:val="005B13B2"/>
    <w:rsid w:val="006552B7"/>
    <w:rsid w:val="007F5B38"/>
    <w:rsid w:val="00805A5D"/>
    <w:rsid w:val="00835E69"/>
    <w:rsid w:val="0088731F"/>
    <w:rsid w:val="008C5C92"/>
    <w:rsid w:val="00B73D42"/>
    <w:rsid w:val="00C619B3"/>
    <w:rsid w:val="00D615A5"/>
    <w:rsid w:val="00DB0CDE"/>
    <w:rsid w:val="00E82D31"/>
    <w:rsid w:val="00E94776"/>
    <w:rsid w:val="00ED11BA"/>
    <w:rsid w:val="00FB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B6E43A"/>
  <w15:chartTrackingRefBased/>
  <w15:docId w15:val="{B6A5E1F0-015E-4D38-9FDD-79DC91DC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1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1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1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1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15A5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  <w:style w:type="paragraph" w:styleId="ab">
    <w:name w:val="header"/>
    <w:basedOn w:val="a"/>
    <w:link w:val="Char3"/>
    <w:uiPriority w:val="99"/>
    <w:unhideWhenUsed/>
    <w:rsid w:val="006552B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552B7"/>
  </w:style>
  <w:style w:type="paragraph" w:styleId="ac">
    <w:name w:val="footer"/>
    <w:basedOn w:val="a"/>
    <w:link w:val="Char4"/>
    <w:uiPriority w:val="99"/>
    <w:unhideWhenUsed/>
    <w:rsid w:val="006552B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552B7"/>
  </w:style>
  <w:style w:type="table" w:customStyle="1" w:styleId="10">
    <w:name w:val="표 구분선1"/>
    <w:basedOn w:val="a1"/>
    <w:next w:val="aa"/>
    <w:uiPriority w:val="39"/>
    <w:rsid w:val="006552B7"/>
    <w:pPr>
      <w:spacing w:after="0"/>
      <w:jc w:val="both"/>
    </w:pPr>
    <w:rPr>
      <w:sz w:val="20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endnote text"/>
    <w:basedOn w:val="a"/>
    <w:link w:val="Char5"/>
    <w:uiPriority w:val="99"/>
    <w:semiHidden/>
    <w:unhideWhenUsed/>
    <w:rsid w:val="00E94776"/>
    <w:pPr>
      <w:snapToGrid w:val="0"/>
    </w:pPr>
  </w:style>
  <w:style w:type="character" w:customStyle="1" w:styleId="Char5">
    <w:name w:val="미주 텍스트 Char"/>
    <w:basedOn w:val="a0"/>
    <w:link w:val="ad"/>
    <w:uiPriority w:val="99"/>
    <w:semiHidden/>
    <w:rsid w:val="00E94776"/>
  </w:style>
  <w:style w:type="character" w:styleId="ae">
    <w:name w:val="endnote reference"/>
    <w:basedOn w:val="a0"/>
    <w:uiPriority w:val="99"/>
    <w:semiHidden/>
    <w:unhideWhenUsed/>
    <w:rsid w:val="00E94776"/>
    <w:rPr>
      <w:vertAlign w:val="superscript"/>
    </w:rPr>
  </w:style>
  <w:style w:type="paragraph" w:customStyle="1" w:styleId="EndNoteBibliography">
    <w:name w:val="EndNote Bibliography"/>
    <w:basedOn w:val="a"/>
    <w:link w:val="EndNoteBibliographyChar"/>
    <w:rsid w:val="00DB0CDE"/>
    <w:pPr>
      <w:jc w:val="both"/>
    </w:pPr>
    <w:rPr>
      <w:rFonts w:ascii="맑은 고딕" w:eastAsia="맑은 고딕" w:hAnsi="맑은 고딕"/>
      <w:noProof/>
      <w:kern w:val="0"/>
      <w:sz w:val="20"/>
      <w:szCs w:val="22"/>
      <w14:ligatures w14:val="none"/>
    </w:rPr>
  </w:style>
  <w:style w:type="character" w:customStyle="1" w:styleId="EndNoteBibliographyChar">
    <w:name w:val="EndNote Bibliography Char"/>
    <w:basedOn w:val="a0"/>
    <w:link w:val="EndNoteBibliography"/>
    <w:rsid w:val="00DB0CDE"/>
    <w:rPr>
      <w:rFonts w:ascii="맑은 고딕" w:eastAsia="맑은 고딕" w:hAnsi="맑은 고딕"/>
      <w:noProof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6B8B-8BF5-47A9-9C4C-9DAE6022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User</cp:lastModifiedBy>
  <cp:revision>2</cp:revision>
  <dcterms:created xsi:type="dcterms:W3CDTF">2025-12-12T06:24:00Z</dcterms:created>
  <dcterms:modified xsi:type="dcterms:W3CDTF">2025-12-12T14:54:00Z</dcterms:modified>
</cp:coreProperties>
</file>