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BE" w:rsidRDefault="005269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69BE" w:rsidRDefault="00B620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о выполнении лабораторной работы 1.4.5</w:t>
      </w:r>
    </w:p>
    <w:p w:rsidR="005269BE" w:rsidRDefault="005269B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269BE" w:rsidRDefault="00B620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Изучение колебаний струны</w:t>
      </w:r>
    </w:p>
    <w:p w:rsidR="005269BE" w:rsidRDefault="005269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rPr>
          <w:rFonts w:ascii="Times New Roman" w:hAnsi="Times New Roman" w:cs="Times New Roman"/>
          <w:sz w:val="28"/>
          <w:szCs w:val="28"/>
        </w:rPr>
      </w:pPr>
    </w:p>
    <w:p w:rsidR="005269BE" w:rsidRDefault="00B6206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студенты 1 курса ФРТК </w:t>
      </w:r>
    </w:p>
    <w:p w:rsidR="005269BE" w:rsidRDefault="00B6206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Данила Бежко и Зажигина Елизавета</w:t>
      </w:r>
    </w:p>
    <w:p w:rsidR="005269BE" w:rsidRDefault="00B6206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816 группа</w:t>
      </w:r>
    </w:p>
    <w:p w:rsidR="005269BE" w:rsidRDefault="00B6206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Жотиков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 Геннадьевич</w:t>
      </w:r>
    </w:p>
    <w:p w:rsidR="005269BE" w:rsidRDefault="005269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69BE" w:rsidRDefault="005269B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69BE" w:rsidRDefault="00B620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МФТИ, 2018</w:t>
      </w:r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изучение поперечных стоячих волн на струне; определение собственных частот колебаний струны; исследование зависимости скорости распространения поперечных волн на струне в зависимости от её натяжения. </w:t>
      </w:r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 работе используются: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закрепленная на станине стальная струна, набор грузов, электромагнитные датчики, звуковой генератор, двухканальный осциллограф, частотомер. </w:t>
      </w:r>
    </w:p>
    <w:p w:rsidR="005269BE" w:rsidRDefault="00B6206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Введение</w:t>
      </w:r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Струной в акустике называют однородную тонкую гибкую упругую нить. Примерами могут служить сильно натяну</w:t>
      </w:r>
      <w:r>
        <w:rPr>
          <w:rFonts w:ascii="Times New Roman" w:eastAsia="Calibri" w:hAnsi="Times New Roman" w:cs="Times New Roman"/>
          <w:sz w:val="28"/>
          <w:szCs w:val="28"/>
        </w:rPr>
        <w:t>тый шнур или трос, струны гитары, скрипки и других музыкальных инструментов. В данной работе изучаются поперечные колебания стальной гитарной струны, натянутой горизонтально и закрепленной между двумя неподвижными зажимами. Основное свойство струны — гибко</w:t>
      </w:r>
      <w:r>
        <w:rPr>
          <w:rFonts w:ascii="Times New Roman" w:eastAsia="Calibri" w:hAnsi="Times New Roman" w:cs="Times New Roman"/>
          <w:sz w:val="28"/>
          <w:szCs w:val="28"/>
        </w:rPr>
        <w:t>сть — обусловлено тем, что её поперечные размеры малы по сравнению с длиной. Это означает, что напряжение в струне может быть направлено только вдоль неё, и позволяет не учитывать изгибные напряжения, которые могли бы возникать при поперечных деформациях (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то есть, при изгибе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струны)*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. В натянутой струне возникает поперечная упругость, т.е. способность сопротивляться всякому изменению формы, происходящему без изменения объема. При вертикальном смещении произвольного элемента струны, возникают силы, действую</w:t>
      </w:r>
      <w:r>
        <w:rPr>
          <w:rFonts w:ascii="Times New Roman" w:eastAsia="Calibri" w:hAnsi="Times New Roman" w:cs="Times New Roman"/>
          <w:sz w:val="28"/>
          <w:szCs w:val="28"/>
        </w:rPr>
        <w:t>щие на соседние элементы, и в результате вся струна приходит в движение в вертикальной плоскости, т.е. возбуждение «бежит» по струне. Передача возбуждения представляет собой поперечные бегущие волны, распространяющиеся с некоторой скоростью в обе стороны о</w:t>
      </w:r>
      <w:r>
        <w:rPr>
          <w:rFonts w:ascii="Times New Roman" w:eastAsia="Calibri" w:hAnsi="Times New Roman" w:cs="Times New Roman"/>
          <w:sz w:val="28"/>
          <w:szCs w:val="28"/>
        </w:rPr>
        <w:t>т места возбуждения. В ненатянутом состоянии струна не обладает свойством поперечной упругости и поперечные волны на ней невозможны.</w:t>
      </w: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Волны на струне</w:t>
      </w:r>
      <w:r>
        <w:rPr>
          <w:rFonts w:ascii="Times New Roman" w:eastAsia="Calibri" w:hAnsi="Times New Roman" w:cs="Times New Roman"/>
          <w:sz w:val="28"/>
          <w:szCs w:val="28"/>
        </w:rPr>
        <w:t>*</w:t>
      </w: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741420" cy="24466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Рассмотрим гибкую однородную струну, в которой создано натяжение T, и получим дифференциальное уравнени</w:t>
      </w:r>
      <w:r>
        <w:rPr>
          <w:rFonts w:ascii="Times New Roman" w:eastAsia="Calibri" w:hAnsi="Times New Roman" w:cs="Times New Roman"/>
          <w:sz w:val="28"/>
          <w:szCs w:val="28"/>
        </w:rPr>
        <w:t xml:space="preserve">е, описывающее её малые поперечные свободные колебания. Отметим,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если струна расположена горизонтально в поле тяжести, величина T должна быть достаточна для того, чтобы в состоянии равновесия струна не провисала, т. е. сила натяжения должна существенно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превышать вес струны. Направим ось 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вдоль струны в положении равновесия. Форму струны будем описывать функцией </w:t>
      </w:r>
      <w:r>
        <w:rPr>
          <w:rFonts w:ascii="Cambria Math" w:eastAsia="Calibri" w:hAnsi="Cambria Math" w:cs="Cambria Math"/>
          <w:sz w:val="28"/>
          <w:szCs w:val="28"/>
        </w:rPr>
        <w:t>𝑦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Start"/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Cambria Math" w:eastAsia="Calibri" w:hAnsi="Cambria Math" w:cs="Cambria Math"/>
          <w:sz w:val="28"/>
          <w:szCs w:val="28"/>
        </w:rPr>
        <w:t>𝑡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), определяющей её вертикальное смещение в точке 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момент времени </w:t>
      </w:r>
      <w:r>
        <w:rPr>
          <w:rFonts w:ascii="Cambria Math" w:eastAsia="Calibri" w:hAnsi="Cambria Math" w:cs="Cambria Math"/>
          <w:sz w:val="28"/>
          <w:szCs w:val="28"/>
        </w:rPr>
        <w:t>𝑡𝑡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(см. рис. 1). Угол наклона касательной к струне в точке 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тносительно горизонтального направления обозначим как </w:t>
      </w:r>
      <w:proofErr w:type="gramStart"/>
      <w:r>
        <w:rPr>
          <w:rFonts w:ascii="Cambria Math" w:eastAsia="Calibri" w:hAnsi="Cambria Math" w:cs="Cambria Math"/>
          <w:sz w:val="28"/>
          <w:szCs w:val="28"/>
        </w:rPr>
        <w:t>𝛼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на рисунке обозначается </w:t>
      </w:r>
      <m:oMath>
        <m:r>
          <w:rPr>
            <w:rFonts w:ascii="Cambria Math" w:hAnsi="Cambria Math"/>
          </w:rPr>
          <m:t>θ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). В любой момент этот угол совпадает углом наклона касательной к графику функции </w:t>
      </w:r>
      <w:r>
        <w:rPr>
          <w:rFonts w:ascii="Cambria Math" w:eastAsia="Calibri" w:hAnsi="Cambria Math" w:cs="Cambria Math"/>
          <w:sz w:val="28"/>
          <w:szCs w:val="28"/>
        </w:rPr>
        <w:t>𝑦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 xml:space="preserve">), то есть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𝛼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∂γ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ascii="Times New Roman" w:eastAsia="Calibri" w:hAnsi="Times New Roman" w:cs="Times New Roman"/>
          <w:sz w:val="28"/>
          <w:szCs w:val="28"/>
        </w:rPr>
        <w:t xml:space="preserve">. Рассмотрим элементарный участок струны, находящийся в точке 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>, имеющий длину δ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массу δ</w:t>
      </w:r>
      <w:r>
        <w:rPr>
          <w:rFonts w:ascii="Cambria Math" w:eastAsia="Calibri" w:hAnsi="Cambria Math" w:cs="Cambria Math"/>
          <w:sz w:val="28"/>
          <w:szCs w:val="28"/>
        </w:rPr>
        <w:t>𝑚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∂x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— погонная плотность струны (масса на единицу длины). При отклонении от равновесия на выделенный элемент действуют силы натяжения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, н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аправленные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по касательной к струне. Их вертикальная составляющая будет стремиться вернуть рассматриваемый участок струны к положению равновесия, придавая элементу некоторое вертикальное ускорение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Times New Roman" w:eastAsia="Calibri" w:hAnsi="Times New Roman" w:cs="Times New Roman"/>
          <w:sz w:val="28"/>
          <w:szCs w:val="28"/>
        </w:rPr>
        <w:t xml:space="preserve">. Заметим, что угол </w:t>
      </w:r>
      <w:r>
        <w:rPr>
          <w:rFonts w:ascii="Cambria Math" w:eastAsia="Calibri" w:hAnsi="Cambria Math" w:cs="Cambria Math"/>
          <w:sz w:val="28"/>
          <w:szCs w:val="28"/>
        </w:rPr>
        <w:t>𝛼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зависит от координаты 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доль струны и различен в точках приложения сил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,. Таким образом, второй закон Ньютона для вертикального движения элемента струны запишется в следующем виде:</w:t>
      </w:r>
    </w:p>
    <w:p w:rsidR="005269BE" w:rsidRDefault="00B62064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∂m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−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(1)</w:t>
      </w:r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Основываясь на предположении, что отклоне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ния струны от положения равновесия малы, можем сделать ряд упрощений: </w:t>
      </w:r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1. Длина участка струны в изогнутом состоянии практически равна длине участка в положении равновесия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* ,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поэтому добавочным напряжением вследствие удлинения струны можно пренебречь. След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овательно, силы T1 и T2 по модулю равны силе натяжения струны: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 ≈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≈ </w:t>
      </w:r>
      <w:r>
        <w:rPr>
          <w:rFonts w:ascii="Cambria Math" w:eastAsia="Calibri" w:hAnsi="Cambria Math" w:cs="Cambria Math"/>
          <w:sz w:val="28"/>
          <w:szCs w:val="28"/>
        </w:rPr>
        <w:t>𝑇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Углы наклона </w:t>
      </w:r>
      <w:r>
        <w:rPr>
          <w:rFonts w:ascii="Cambria Math" w:eastAsia="Calibri" w:hAnsi="Cambria Math" w:cs="Cambria Math"/>
          <w:sz w:val="28"/>
          <w:szCs w:val="28"/>
        </w:rPr>
        <w:t>𝛼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малы, поэтому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≈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≈ </w:t>
      </w:r>
      <w:r>
        <w:rPr>
          <w:rFonts w:ascii="Cambria Math" w:eastAsia="Calibri" w:hAnsi="Cambria Math" w:cs="Cambria Math"/>
          <w:sz w:val="28"/>
          <w:szCs w:val="28"/>
        </w:rPr>
        <w:t>𝛼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и, следовательно, можно положить </w:t>
      </w:r>
      <w:r>
        <w:rPr>
          <w:rFonts w:ascii="Cambria Math" w:eastAsia="Calibri" w:hAnsi="Cambria Math" w:cs="Cambria Math"/>
          <w:sz w:val="28"/>
          <w:szCs w:val="28"/>
        </w:rPr>
        <w:t>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ascii="Times New Roman" w:eastAsia="Calibri" w:hAnsi="Times New Roman" w:cs="Times New Roman"/>
          <w:sz w:val="28"/>
          <w:szCs w:val="28"/>
        </w:rPr>
        <w:t xml:space="preserve"> . Разделим обе части уравнения движения (1) на </w:t>
      </w:r>
      <w:r>
        <w:rPr>
          <w:rFonts w:ascii="Cambria Math" w:eastAsia="Calibri" w:hAnsi="Cambria Math" w:cs="Cambria Math"/>
          <w:sz w:val="28"/>
          <w:szCs w:val="28"/>
        </w:rPr>
        <w:t>𝛿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устремим размер элемента к нулю, </w:t>
      </w:r>
      <w:r>
        <w:rPr>
          <w:rFonts w:ascii="Cambria Math" w:eastAsia="Calibri" w:hAnsi="Cambria Math" w:cs="Cambria Math"/>
          <w:sz w:val="28"/>
          <w:szCs w:val="28"/>
        </w:rPr>
        <w:t>𝛿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 xml:space="preserve"> → 0. Тогда правая часть (1) примет вид</w:t>
      </w:r>
    </w:p>
    <w:p w:rsidR="005269BE" w:rsidRDefault="00B620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∂α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(в последнем переходе использовано определение производной функции как предела отношения приращения функции 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приращению аргумента). Наконец, подставляя </w:t>
      </w:r>
      <w:r>
        <w:rPr>
          <w:rFonts w:ascii="Cambria Math" w:eastAsia="Calibri" w:hAnsi="Cambria Math" w:cs="Cambria Math"/>
          <w:sz w:val="28"/>
          <w:szCs w:val="28"/>
        </w:rPr>
        <w:t>𝛼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Cambria Math" w:eastAsia="Calibri" w:hAnsi="Cambria Math" w:cs="Cambria Math"/>
          <w:sz w:val="28"/>
          <w:szCs w:val="28"/>
        </w:rPr>
        <w:t>𝜕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Calibri" w:hAnsi="Times New Roman" w:cs="Times New Roman"/>
          <w:sz w:val="28"/>
          <w:szCs w:val="28"/>
        </w:rPr>
        <w:t xml:space="preserve">/ </w:t>
      </w:r>
      <w:r>
        <w:rPr>
          <w:rFonts w:ascii="Cambria Math" w:eastAsia="Calibri" w:hAnsi="Cambria Math" w:cs="Cambria Math"/>
          <w:sz w:val="28"/>
          <w:szCs w:val="28"/>
        </w:rPr>
        <w:t>𝜕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и вводя обозначение</w:t>
      </w:r>
    </w:p>
    <w:p w:rsidR="005269BE" w:rsidRDefault="00B620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ambria Math" w:eastAsia="Calibri" w:hAnsi="Cambria Math" w:cs="Cambria Math"/>
          <w:sz w:val="28"/>
          <w:szCs w:val="28"/>
        </w:rPr>
        <w:t>𝑢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rad>
      </m:oMath>
      <w:r>
        <w:rPr>
          <w:rFonts w:ascii="Times New Roman" w:eastAsia="Calibri" w:hAnsi="Times New Roman" w:cs="Times New Roman"/>
          <w:sz w:val="28"/>
          <w:szCs w:val="28"/>
        </w:rPr>
        <w:t xml:space="preserve"> , (2)</w:t>
      </w:r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что, как мы увидим далее, есть скорость распространения волн на струне, находим окончательно уравнение свободных малых поперечных колебаний струны:</w:t>
      </w:r>
    </w:p>
    <w:p w:rsidR="005269BE" w:rsidRDefault="00B6206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Times New Roman" w:eastAsia="Calibri" w:hAnsi="Times New Roman" w:cs="Times New Roman"/>
          <w:sz w:val="28"/>
          <w:szCs w:val="28"/>
        </w:rPr>
        <w:t>. (3)</w:t>
      </w: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Уравнение (3) называют волновым уравнением. Кроме волн на струне, оно может описывать волновые процессы в самых разных системах, в том числе волны в сплошных средах (звук), электромагнитные волны и т.д.</w:t>
      </w:r>
    </w:p>
    <w:p w:rsidR="005269BE" w:rsidRDefault="00B6206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Бегущие волны</w:t>
      </w:r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Как показывается </w:t>
      </w:r>
      <w:r>
        <w:rPr>
          <w:rFonts w:ascii="Times New Roman" w:eastAsia="Calibri" w:hAnsi="Times New Roman" w:cs="Times New Roman"/>
          <w:sz w:val="28"/>
          <w:szCs w:val="28"/>
        </w:rPr>
        <w:t>в математических курсах, общее решение дифференциального уравнения в частных производных (3) представимо в виде суммы двух волн произвольной формы, бегущих в противоположные стороны со скоростями ±</w:t>
      </w:r>
      <w:r>
        <w:rPr>
          <w:rFonts w:ascii="Cambria Math" w:eastAsia="Calibri" w:hAnsi="Cambria Math" w:cs="Cambria Math"/>
          <w:sz w:val="28"/>
          <w:szCs w:val="28"/>
        </w:rPr>
        <w:t>𝑢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Cambria Math" w:eastAsia="Calibri" w:hAnsi="Cambria Math" w:cs="Cambria Math"/>
          <w:sz w:val="28"/>
          <w:szCs w:val="28"/>
        </w:rPr>
        <w:t>𝑦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Cambria Math" w:eastAsia="Calibri" w:hAnsi="Cambria Math" w:cs="Cambria Math"/>
          <w:sz w:val="28"/>
          <w:szCs w:val="28"/>
        </w:rPr>
        <w:t>𝑡</w:t>
      </w:r>
      <w:r>
        <w:rPr>
          <w:rFonts w:ascii="Times New Roman" w:eastAsia="Calibri" w:hAnsi="Times New Roman" w:cs="Times New Roman"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 xml:space="preserve"> − </w:t>
      </w:r>
      <w:r>
        <w:rPr>
          <w:rFonts w:ascii="Cambria Math" w:eastAsia="Calibri" w:hAnsi="Cambria Math" w:cs="Cambria Math"/>
          <w:sz w:val="28"/>
          <w:szCs w:val="28"/>
        </w:rPr>
        <w:t>𝑢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sz w:val="28"/>
          <w:szCs w:val="28"/>
        </w:rPr>
        <w:t xml:space="preserve">)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>
        <w:rPr>
          <w:rFonts w:ascii="Cambria Math" w:eastAsia="Calibri" w:hAnsi="Cambria Math" w:cs="Cambria Math"/>
          <w:sz w:val="28"/>
          <w:szCs w:val="28"/>
        </w:rPr>
        <w:t>𝑢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sz w:val="28"/>
          <w:szCs w:val="28"/>
        </w:rPr>
        <w:t xml:space="preserve">), (4) где u — скорость распространения волны (2),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— произвольные функции, вид которых в конкретной задаче определяется из начальных и граничных условий. </w:t>
      </w:r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* Нетрудно убедиться, что поправка к длине элемента имеет второй (квадратичный) порядок мал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ости по углу </w:t>
      </w:r>
      <w:r>
        <w:rPr>
          <w:rFonts w:ascii="Cambria Math" w:eastAsia="Calibri" w:hAnsi="Cambria Math" w:cs="Cambria Math"/>
          <w:sz w:val="28"/>
          <w:szCs w:val="28"/>
        </w:rPr>
        <w:t>𝛼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5269BE" w:rsidRDefault="00B62064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δl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e>
          </m:ra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δx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δα</m:t>
          </m:r>
        </m:oMath>
      </m:oMathPara>
    </w:p>
    <w:p w:rsidR="005269BE" w:rsidRDefault="00B6206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Стоячие волны</w:t>
      </w: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Найдем вид свободных колебаний струны с закрепленными концами. Пусть струна закреплена в точках 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0 и 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Cambria Math" w:eastAsia="Calibri" w:hAnsi="Cambria Math" w:cs="Cambria Math"/>
          <w:sz w:val="28"/>
          <w:szCs w:val="28"/>
        </w:rPr>
        <w:t>𝐿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Концы струны не колеблются, поэтому </w:t>
      </w:r>
      <w:r>
        <w:rPr>
          <w:rFonts w:ascii="Cambria Math" w:eastAsia="Calibri" w:hAnsi="Cambria Math" w:cs="Cambria Math"/>
          <w:sz w:val="28"/>
          <w:szCs w:val="28"/>
        </w:rPr>
        <w:t>𝑦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0,</w:t>
      </w:r>
      <w:r>
        <w:rPr>
          <w:rFonts w:ascii="Cambria Math" w:eastAsia="Calibri" w:hAnsi="Cambria Math" w:cs="Cambria Math"/>
          <w:sz w:val="28"/>
          <w:szCs w:val="28"/>
        </w:rPr>
        <w:t>𝑡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) = 0 и </w:t>
      </w:r>
      <w:r>
        <w:rPr>
          <w:rFonts w:ascii="Cambria Math" w:eastAsia="Calibri" w:hAnsi="Cambria Math" w:cs="Cambria Math"/>
          <w:sz w:val="28"/>
          <w:szCs w:val="28"/>
        </w:rPr>
        <w:t>𝑦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Cambria Math" w:eastAsia="Calibri" w:hAnsi="Cambria Math" w:cs="Cambria Math"/>
          <w:sz w:val="28"/>
          <w:szCs w:val="28"/>
        </w:rPr>
        <w:t>𝐿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Cambria Math" w:eastAsia="Calibri" w:hAnsi="Cambria Math" w:cs="Cambria Math"/>
          <w:sz w:val="28"/>
          <w:szCs w:val="28"/>
        </w:rPr>
        <w:t>𝑡</w:t>
      </w:r>
      <w:r>
        <w:rPr>
          <w:rFonts w:ascii="Times New Roman" w:eastAsia="Calibri" w:hAnsi="Times New Roman" w:cs="Times New Roman"/>
          <w:sz w:val="28"/>
          <w:szCs w:val="28"/>
        </w:rPr>
        <w:t>) =</w:t>
      </w:r>
      <w:r>
        <w:rPr>
          <w:rFonts w:ascii="Times New Roman" w:eastAsia="Calibri" w:hAnsi="Times New Roman" w:cs="Times New Roman"/>
          <w:sz w:val="28"/>
          <w:szCs w:val="28"/>
        </w:rPr>
        <w:t xml:space="preserve"> 0 для любых </w:t>
      </w:r>
      <w:r>
        <w:rPr>
          <w:rFonts w:ascii="Cambria Math" w:eastAsia="Calibri" w:hAnsi="Cambria Math" w:cs="Cambria Math"/>
          <w:sz w:val="28"/>
          <w:szCs w:val="28"/>
        </w:rPr>
        <w:t>𝑡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Используя (5), находим </w:t>
      </w:r>
      <w:r>
        <w:rPr>
          <w:rFonts w:ascii="Cambria Math" w:eastAsia="Calibri" w:hAnsi="Cambria Math" w:cs="Cambria Math"/>
          <w:sz w:val="28"/>
          <w:szCs w:val="28"/>
        </w:rPr>
        <w:t>𝑦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0,</w:t>
      </w:r>
      <w:r>
        <w:rPr>
          <w:rFonts w:ascii="Cambria Math" w:eastAsia="Calibri" w:hAnsi="Cambria Math" w:cs="Cambria Math"/>
          <w:sz w:val="28"/>
          <w:szCs w:val="28"/>
        </w:rPr>
        <w:t>𝑡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) = </w:t>
      </w:r>
      <w:r>
        <w:rPr>
          <w:rFonts w:ascii="Cambria Math" w:eastAsia="Calibri" w:hAnsi="Cambria Math" w:cs="Cambria Math"/>
          <w:sz w:val="28"/>
          <w:szCs w:val="28"/>
        </w:rPr>
        <w:t>𝑎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𝜔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>
        <w:rPr>
          <w:rFonts w:ascii="Cambria Math" w:eastAsia="Calibri" w:hAnsi="Cambria Math" w:cs="Cambria Math"/>
          <w:sz w:val="28"/>
          <w:szCs w:val="28"/>
        </w:rPr>
        <w:t>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𝜔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sz w:val="28"/>
          <w:szCs w:val="28"/>
        </w:rPr>
        <w:t xml:space="preserve">= 0, откуда следует, что </w:t>
      </w:r>
      <w:r>
        <w:rPr>
          <w:rFonts w:ascii="Cambria Math" w:eastAsia="Calibri" w:hAnsi="Cambria Math" w:cs="Cambria Math"/>
          <w:sz w:val="28"/>
          <w:szCs w:val="28"/>
        </w:rPr>
        <w:t>𝑎𝑎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−</w:t>
      </w:r>
      <w:r>
        <w:rPr>
          <w:rFonts w:ascii="Cambria Math" w:eastAsia="Calibri" w:hAnsi="Cambria Math" w:cs="Cambria Math"/>
          <w:sz w:val="28"/>
          <w:szCs w:val="28"/>
        </w:rPr>
        <w:t>𝑏𝑏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Тогда после тригонометрических преобразований выражение (5) примет вид </w:t>
      </w:r>
      <w:r>
        <w:rPr>
          <w:rFonts w:ascii="Cambria Math" w:eastAsia="Calibri" w:hAnsi="Cambria Math" w:cs="Cambria Math"/>
          <w:sz w:val="28"/>
          <w:szCs w:val="28"/>
        </w:rPr>
        <w:t>𝑦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Start"/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Cambria Math" w:eastAsia="Calibri" w:hAnsi="Cambria Math" w:cs="Cambria Math"/>
          <w:sz w:val="28"/>
          <w:szCs w:val="28"/>
        </w:rPr>
        <w:t>𝑡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) = 2</w:t>
      </w:r>
      <w:r>
        <w:rPr>
          <w:rFonts w:ascii="Cambria Math" w:eastAsia="Calibri" w:hAnsi="Cambria Math" w:cs="Cambria Math"/>
          <w:sz w:val="28"/>
          <w:szCs w:val="28"/>
        </w:rPr>
        <w:t>𝑎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𝜔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sz w:val="28"/>
          <w:szCs w:val="28"/>
        </w:rPr>
        <w:t xml:space="preserve">. (7) Колебания струны, описываемые функцией (7), называются стоячими волнами. Видно, что стоячая волна может быть получена как сумма (интерференция) двух гармонических бегущих волн, имеющих равную амплитуду и движущихся навстречу друг другу. Как видно из </w:t>
      </w:r>
      <w:r>
        <w:rPr>
          <w:rFonts w:ascii="Times New Roman" w:eastAsia="Calibri" w:hAnsi="Times New Roman" w:cs="Times New Roman"/>
          <w:sz w:val="28"/>
          <w:szCs w:val="28"/>
        </w:rPr>
        <w:t xml:space="preserve">(7), точки струны, в которых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0, в любой момент времени неподвижны. Такие точки называются узлам. Остальные точки совершают в вертикальной плоскости гармонические колебания с частотой </w:t>
      </w:r>
      <w:r>
        <w:rPr>
          <w:rFonts w:ascii="Cambria Math" w:eastAsia="Calibri" w:hAnsi="Cambria Math" w:cs="Cambria Math"/>
          <w:sz w:val="28"/>
          <w:szCs w:val="28"/>
        </w:rPr>
        <w:t>𝜈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Cambria Math" w:eastAsia="Calibri" w:hAnsi="Cambria Math" w:cs="Cambria Math"/>
          <w:sz w:val="28"/>
          <w:szCs w:val="28"/>
        </w:rPr>
        <w:t>𝜔</w:t>
      </w:r>
      <w:r>
        <w:rPr>
          <w:rFonts w:ascii="Times New Roman" w:eastAsia="Calibri" w:hAnsi="Times New Roman" w:cs="Times New Roman"/>
          <w:sz w:val="28"/>
          <w:szCs w:val="28"/>
        </w:rPr>
        <w:t>/2</w:t>
      </w:r>
      <w:r>
        <w:rPr>
          <w:rFonts w:ascii="Cambria Math" w:eastAsia="Calibri" w:hAnsi="Cambria Math" w:cs="Cambria Math"/>
          <w:sz w:val="28"/>
          <w:szCs w:val="28"/>
        </w:rPr>
        <w:t>𝜋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Cambria Math" w:eastAsia="Calibri" w:hAnsi="Cambria Math" w:cs="Cambria Math"/>
          <w:sz w:val="28"/>
          <w:szCs w:val="28"/>
        </w:rPr>
        <w:t>𝑢</w:t>
      </w:r>
      <w:r>
        <w:rPr>
          <w:rFonts w:ascii="Times New Roman" w:eastAsia="Calibri" w:hAnsi="Times New Roman" w:cs="Times New Roman"/>
          <w:sz w:val="28"/>
          <w:szCs w:val="28"/>
        </w:rPr>
        <w:t>/</w:t>
      </w:r>
      <w:proofErr w:type="gramStart"/>
      <w:r>
        <w:rPr>
          <w:rFonts w:ascii="Cambria Math" w:eastAsia="Calibri" w:hAnsi="Cambria Math" w:cs="Cambria Math"/>
          <w:sz w:val="28"/>
          <w:szCs w:val="28"/>
        </w:rPr>
        <w:t>𝜆</w:t>
      </w:r>
      <w:r>
        <w:rPr>
          <w:rFonts w:ascii="Times New Roman" w:eastAsia="Calibri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Амплитуда колебаний распределена вдоль ст</w:t>
      </w:r>
      <w:r>
        <w:rPr>
          <w:rFonts w:ascii="Times New Roman" w:eastAsia="Calibri" w:hAnsi="Times New Roman" w:cs="Times New Roman"/>
          <w:sz w:val="28"/>
          <w:szCs w:val="28"/>
        </w:rPr>
        <w:t xml:space="preserve">руны по гармоническому закону: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>) = 2</w:t>
      </w:r>
      <w:r>
        <w:rPr>
          <w:rFonts w:ascii="Cambria Math" w:eastAsia="Calibri" w:hAnsi="Cambria Math" w:cs="Cambria Math"/>
          <w:sz w:val="28"/>
          <w:szCs w:val="28"/>
        </w:rPr>
        <w:t>𝑎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В точках, где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1, амплитуда колебаний максимальна — они называются пучностями. Между двумя соседними узлами все участки струны колеблются в фазе (их скорости имеют одинаковое направление), а пр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переходе через узел фаза колебаний меняется на </w:t>
      </w:r>
      <w:r>
        <w:rPr>
          <w:rFonts w:ascii="Cambria Math" w:eastAsia="Calibri" w:hAnsi="Cambria Math" w:cs="Cambria Math"/>
          <w:sz w:val="28"/>
          <w:szCs w:val="28"/>
        </w:rPr>
        <w:t>𝜋𝜋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вследствие изменения знака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269BE" w:rsidRDefault="00B620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Используя второе граничное условие </w:t>
      </w:r>
      <w:r>
        <w:rPr>
          <w:rFonts w:ascii="Cambria Math" w:eastAsia="Calibri" w:hAnsi="Cambria Math" w:cs="Cambria Math"/>
          <w:sz w:val="28"/>
          <w:szCs w:val="28"/>
        </w:rPr>
        <w:t>𝑦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Start"/>
      <w:r>
        <w:rPr>
          <w:rFonts w:ascii="Cambria Math" w:eastAsia="Calibri" w:hAnsi="Cambria Math" w:cs="Cambria Math"/>
          <w:sz w:val="28"/>
          <w:szCs w:val="28"/>
        </w:rPr>
        <w:t>𝐿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Cambria Math" w:eastAsia="Calibri" w:hAnsi="Cambria Math" w:cs="Cambria Math"/>
          <w:sz w:val="28"/>
          <w:szCs w:val="28"/>
        </w:rPr>
        <w:t>𝑡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) = 0 (точки крепления струны должны быть узлами стоячей волны), найдём условие образования стоячих волн на струне: </w:t>
      </w:r>
      <w:r>
        <w:rPr>
          <w:rFonts w:ascii="Cambria Math" w:eastAsia="Calibri" w:hAnsi="Cambria Math" w:cs="Cambria Math"/>
          <w:sz w:val="28"/>
          <w:szCs w:val="28"/>
        </w:rPr>
        <w:t>𝑦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Cambria Math" w:eastAsia="Calibri" w:hAnsi="Cambria Math" w:cs="Cambria Math"/>
          <w:sz w:val="28"/>
          <w:szCs w:val="28"/>
        </w:rPr>
        <w:t>𝑥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Cambria Math" w:eastAsia="Calibri" w:hAnsi="Cambria Math" w:cs="Cambria Math"/>
          <w:sz w:val="28"/>
          <w:szCs w:val="28"/>
        </w:rPr>
        <w:t>𝑡</w:t>
      </w:r>
      <w:r>
        <w:rPr>
          <w:rFonts w:ascii="Times New Roman" w:eastAsia="Calibri" w:hAnsi="Times New Roman" w:cs="Times New Roman"/>
          <w:sz w:val="28"/>
          <w:szCs w:val="28"/>
        </w:rPr>
        <w:t>) = 2</w:t>
      </w:r>
      <w:r>
        <w:rPr>
          <w:rFonts w:ascii="Cambria Math" w:eastAsia="Calibri" w:hAnsi="Cambria Math" w:cs="Cambria Math"/>
          <w:sz w:val="28"/>
          <w:szCs w:val="28"/>
        </w:rPr>
        <w:t>𝑎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𝜔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0, откуда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0 → </w:t>
      </w:r>
      <w:r>
        <w:rPr>
          <w:rFonts w:ascii="Cambria Math" w:eastAsia="Calibri" w:hAnsi="Cambria Math" w:cs="Cambria Math"/>
          <w:sz w:val="28"/>
          <w:szCs w:val="28"/>
        </w:rPr>
        <w:t>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Cambria Math" w:eastAsia="Calibri" w:hAnsi="Cambria Math" w:cs="Cambria Math"/>
          <w:sz w:val="28"/>
          <w:szCs w:val="28"/>
        </w:rPr>
        <w:t>𝑛𝜋</w:t>
      </w:r>
      <w:r>
        <w:rPr>
          <w:rFonts w:ascii="Times New Roman" w:eastAsia="Calibri" w:hAnsi="Times New Roman" w:cs="Times New Roman"/>
          <w:sz w:val="28"/>
          <w:szCs w:val="28"/>
        </w:rPr>
        <w:t xml:space="preserve">/2 , </w:t>
      </w:r>
      <w:r>
        <w:rPr>
          <w:rFonts w:ascii="Cambria Math" w:eastAsia="Calibri" w:hAnsi="Cambria Math" w:cs="Cambria Math"/>
          <w:sz w:val="28"/>
          <w:szCs w:val="28"/>
        </w:rPr>
        <w:t>𝑛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∈</w:t>
      </w:r>
      <w:r>
        <w:rPr>
          <w:rFonts w:ascii="Times New Roman" w:eastAsia="Calibri" w:hAnsi="Times New Roman" w:cs="Times New Roman"/>
          <w:sz w:val="28"/>
          <w:szCs w:val="28"/>
        </w:rPr>
        <w:t xml:space="preserve"> ℕ. Таким образом, стоячие волны на струне с закреплёнными концами могут образовываться только если на длине струны укладывается целое число полуволн: </w:t>
      </w:r>
      <w:r>
        <w:rPr>
          <w:rFonts w:ascii="Cambria Math" w:eastAsia="Calibri" w:hAnsi="Cambria Math" w:cs="Cambria Math"/>
          <w:sz w:val="28"/>
          <w:szCs w:val="28"/>
        </w:rPr>
        <w:t>𝐿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𝑛</w:t>
      </w:r>
      <w:r>
        <w:rPr>
          <w:rFonts w:ascii="Times New Roman" w:eastAsia="Calibri" w:hAnsi="Times New Roman" w:cs="Times New Roman"/>
          <w:sz w:val="28"/>
          <w:szCs w:val="28"/>
        </w:rPr>
        <w:t xml:space="preserve">. (8) Поскольку длина волны однозначно связана с её частотой, струна может колебаться только с определёнными частотами: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Cambria Math" w:eastAsia="Calibri" w:hAnsi="Cambria Math" w:cs="Cambria Math"/>
          <w:sz w:val="28"/>
          <w:szCs w:val="28"/>
        </w:rPr>
        <w:t>𝑛</w:t>
      </w:r>
      <w:r>
        <w:rPr>
          <w:rFonts w:ascii="Times New Roman" w:eastAsia="Calibri" w:hAnsi="Times New Roman" w:cs="Times New Roman"/>
          <w:sz w:val="28"/>
          <w:szCs w:val="28"/>
        </w:rPr>
        <w:t>/2</w:t>
      </w:r>
      <w:r>
        <w:rPr>
          <w:rFonts w:ascii="Cambria Math" w:eastAsia="Calibri" w:hAnsi="Cambria Math" w:cs="Cambria Math"/>
          <w:sz w:val="28"/>
          <w:szCs w:val="28"/>
        </w:rPr>
        <w:t>𝐿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den>
            </m:f>
          </m:e>
        </m:rad>
      </m:oMath>
      <w:r>
        <w:rPr>
          <w:rFonts w:ascii="Times New Roman" w:eastAsia="Calibri" w:hAnsi="Times New Roman" w:cs="Times New Roman"/>
          <w:sz w:val="28"/>
          <w:szCs w:val="28"/>
        </w:rPr>
        <w:t xml:space="preserve"> , </w:t>
      </w:r>
      <w:r>
        <w:rPr>
          <w:rFonts w:ascii="Cambria Math" w:eastAsia="Calibri" w:hAnsi="Cambria Math" w:cs="Cambria Math"/>
          <w:sz w:val="28"/>
          <w:szCs w:val="28"/>
        </w:rPr>
        <w:t>𝑛𝑛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∈</w:t>
      </w:r>
      <w:r>
        <w:rPr>
          <w:rFonts w:ascii="Times New Roman" w:eastAsia="Calibri" w:hAnsi="Times New Roman" w:cs="Times New Roman"/>
          <w:sz w:val="28"/>
          <w:szCs w:val="28"/>
        </w:rPr>
        <w:t xml:space="preserve"> ℕ. (9) Набор (спектр) разрешённых частот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называют собственными частотами колебаний струны. Ре</w:t>
      </w:r>
      <w:r>
        <w:rPr>
          <w:rFonts w:ascii="Times New Roman" w:eastAsia="Calibri" w:hAnsi="Times New Roman" w:cs="Times New Roman"/>
          <w:sz w:val="28"/>
          <w:szCs w:val="28"/>
        </w:rPr>
        <w:t xml:space="preserve">жим колебаний, соответствующий каждой из частот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, называется собственной (или нормальной) модой колебаний (от англ. mode — режим). Произвольное колебание струны может быть представлено в виде суперпозиции её собственных колебаний. Наименьшая частота </w:t>
      </w:r>
      <w:r>
        <w:rPr>
          <w:rFonts w:ascii="Cambria Math" w:eastAsia="Calibri" w:hAnsi="Cambria Math" w:cs="Cambria Math"/>
          <w:sz w:val="28"/>
          <w:szCs w:val="28"/>
        </w:rPr>
        <w:t>𝜈</w:t>
      </w:r>
      <w:r>
        <w:rPr>
          <w:rFonts w:ascii="Cambria Math" w:eastAsia="Calibri" w:hAnsi="Cambria Math" w:cs="Cambria Math"/>
          <w:sz w:val="28"/>
          <w:szCs w:val="28"/>
        </w:rPr>
        <w:t>𝜈</w:t>
      </w:r>
      <w:r>
        <w:rPr>
          <w:rFonts w:ascii="Times New Roman" w:eastAsia="Calibri" w:hAnsi="Times New Roman" w:cs="Times New Roman"/>
          <w:sz w:val="28"/>
          <w:szCs w:val="28"/>
        </w:rPr>
        <w:t>1 называется также основным тоном (или первой гармоникой), а остальные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= 2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= 3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, …) — обертонами (высшими гармониками). Термин «гармоника» иногда употребляется в обобщенном смысле — как элементарная составляющая сложного гармонического кол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ебания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На Рис. 2 показана картина стоячих волн для </w:t>
      </w:r>
      <w:r>
        <w:rPr>
          <w:rFonts w:ascii="Cambria Math" w:eastAsia="Calibri" w:hAnsi="Cambria Math" w:cs="Cambria Math"/>
          <w:sz w:val="28"/>
          <w:szCs w:val="28"/>
        </w:rPr>
        <w:t>𝑛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1, 2, 3. Заметим, что число </w:t>
      </w:r>
      <w:r>
        <w:rPr>
          <w:rFonts w:ascii="Cambria Math" w:eastAsia="Calibri" w:hAnsi="Cambria Math" w:cs="Cambria Math"/>
          <w:sz w:val="28"/>
          <w:szCs w:val="28"/>
        </w:rPr>
        <w:t>𝑛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определяет число пучностей (но не узлов!) колеблющейся струны. Таким образом, спектр собственных частот струны определён её погонной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плотностью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, силой натяжения </w:t>
      </w:r>
      <w:r>
        <w:rPr>
          <w:rFonts w:ascii="Cambria Math" w:eastAsia="Calibri" w:hAnsi="Cambria Math" w:cs="Cambria Math"/>
          <w:sz w:val="28"/>
          <w:szCs w:val="28"/>
        </w:rPr>
        <w:t>𝑇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длиной струны </w:t>
      </w:r>
      <w:r>
        <w:rPr>
          <w:rFonts w:ascii="Cambria Math" w:eastAsia="Calibri" w:hAnsi="Cambria Math" w:cs="Cambria Math"/>
          <w:sz w:val="28"/>
          <w:szCs w:val="28"/>
        </w:rPr>
        <w:t>𝐿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(отдельно отметим, что собственные частоты не зависят от модуля Юнга материала струны).</w:t>
      </w:r>
    </w:p>
    <w:p w:rsidR="005269BE" w:rsidRDefault="001B75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60620" cy="3726180"/>
            <wp:effectExtent l="0" t="0" r="0" b="7620"/>
            <wp:docPr id="16" name="Рисунок 16" descr="http://ok-t.ru/mylektsiiru/baza2/48563574992.files/image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mylektsiiru/baza2/48563574992.files/image04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Возбуждение колебаний струны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колебаниях реальной струны всегда имеет место потеря энергии (часть теряется вследствие трения о воздух; другая </w:t>
      </w:r>
      <w:r>
        <w:rPr>
          <w:rFonts w:ascii="Times New Roman" w:eastAsia="Calibri" w:hAnsi="Times New Roman" w:cs="Times New Roman"/>
          <w:sz w:val="28"/>
          <w:szCs w:val="28"/>
        </w:rPr>
        <w:t>часть уходит через неидеально закрепленные концы струны и т.д.). Поддержание незатухающих колебаний в струне может осуществляться точечным источником, в качестве которого в данной работе используется электромагнитный вибратор. При этом возникает необходимо</w:t>
      </w:r>
      <w:r>
        <w:rPr>
          <w:rFonts w:ascii="Times New Roman" w:eastAsia="Calibri" w:hAnsi="Times New Roman" w:cs="Times New Roman"/>
          <w:sz w:val="28"/>
          <w:szCs w:val="28"/>
        </w:rPr>
        <w:t>сть переноса энергии от источника по всей струне. Рассмотрим вопрос о передаче энергии по струне. В стоячей волне поток энергии вдоль струны отсутствует — колебательная энергия, заключенная в отрезке струны между двумя соседними узлами, не транспортируется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другие части струны. В каждом таком отрезке происходит периодическое (дважды за период) превращение кинетической энергии в потенциальную и обратно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* .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Передача энергии между различными участками струны возможна только благодаря бегущим волнам, которые, о</w:t>
      </w:r>
      <w:r>
        <w:rPr>
          <w:rFonts w:ascii="Times New Roman" w:eastAsia="Calibri" w:hAnsi="Times New Roman" w:cs="Times New Roman"/>
          <w:sz w:val="28"/>
          <w:szCs w:val="28"/>
        </w:rPr>
        <w:t>днако, в рассмотренной выше идеальной модели струны не возникают. Парадокс снимается, если учесть, что из-за потерь энергии при отражении волны от концов не происходит полной компенсации падающей и отраженной волны, поэтому к стоячей волне на струне добавл</w:t>
      </w:r>
      <w:r>
        <w:rPr>
          <w:rFonts w:ascii="Times New Roman" w:eastAsia="Calibri" w:hAnsi="Times New Roman" w:cs="Times New Roman"/>
          <w:sz w:val="28"/>
          <w:szCs w:val="28"/>
        </w:rPr>
        <w:t xml:space="preserve">яется малая бегущая компонента — именно она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служит «разносчиком» энергии по всей системе. Для эффективной раскачки колебаний используется явление резонанса — вынуждающая частота </w:t>
      </w:r>
      <w:r>
        <w:rPr>
          <w:rFonts w:ascii="Cambria Math" w:eastAsia="Calibri" w:hAnsi="Cambria Math" w:cs="Cambria Math"/>
          <w:sz w:val="28"/>
          <w:szCs w:val="28"/>
        </w:rPr>
        <w:t>𝜈𝜈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должна совпадать с одной из собственных частот струны </w:t>
      </w:r>
      <w:r>
        <w:rPr>
          <w:rFonts w:ascii="Cambria Math" w:eastAsia="Calibri" w:hAnsi="Cambria Math" w:cs="Cambria Math"/>
          <w:sz w:val="28"/>
          <w:szCs w:val="28"/>
        </w:rPr>
        <w:t>𝜈𝜈𝑛𝑛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(см. (9)).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Когда потери энергии в точности компенсируются энергией, поступающей от вибратора, колебания струны становятся стационарными и на ней можно наблюдать стоячие волны. Если потери энергии за период малы по сравнению с запасом колебательной энергии в струне, </w:t>
      </w:r>
      <w:r>
        <w:rPr>
          <w:rFonts w:ascii="Times New Roman" w:eastAsia="Calibri" w:hAnsi="Times New Roman" w:cs="Times New Roman"/>
          <w:sz w:val="28"/>
          <w:szCs w:val="28"/>
        </w:rPr>
        <w:t>то искажение стоячих волн бегущей волной не существенно — наложение бегущей волны малой амплитуды на стоячую визуально приводит к незначительному «размытию» узлов. Для достижения максимального эффекта от вибратора, его следует располагать вблизи узловой то</w:t>
      </w:r>
      <w:r>
        <w:rPr>
          <w:rFonts w:ascii="Times New Roman" w:eastAsia="Calibri" w:hAnsi="Times New Roman" w:cs="Times New Roman"/>
          <w:sz w:val="28"/>
          <w:szCs w:val="28"/>
        </w:rPr>
        <w:t xml:space="preserve">чки. Это можно показать из следующих элементарных соображений. Пусть вибратор, размещённый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, способен раскачать соответствующий элемент струны до амплитуды </w:t>
      </w:r>
      <w:r>
        <w:rPr>
          <w:rFonts w:ascii="Cambria Math" w:eastAsia="Calibri" w:hAnsi="Cambria Math" w:cs="Cambria Math"/>
          <w:sz w:val="28"/>
          <w:szCs w:val="28"/>
        </w:rPr>
        <w:t>𝐴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Если частота вибратора близка к резонансной (т.е. собственной),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как следует из (7)</w:t>
      </w:r>
      <w:r>
        <w:rPr>
          <w:rFonts w:ascii="Times New Roman" w:eastAsia="Calibri" w:hAnsi="Times New Roman" w:cs="Times New Roman"/>
          <w:sz w:val="28"/>
          <w:szCs w:val="28"/>
        </w:rPr>
        <w:t>, амплитуда колебаний струны в пучности будет равна 2</w:t>
      </w:r>
      <w:r>
        <w:rPr>
          <w:rFonts w:ascii="Cambria Math" w:eastAsia="Calibri" w:hAnsi="Cambria Math" w:cs="Cambria Math"/>
          <w:sz w:val="28"/>
          <w:szCs w:val="28"/>
        </w:rPr>
        <w:t>𝑎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Cambria Math" w:eastAsia="Calibri" w:hAnsi="Cambria Math" w:cs="Cambria Math"/>
          <w:sz w:val="28"/>
          <w:szCs w:val="28"/>
        </w:rPr>
        <w:t>𝐴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Cambria Math" w:eastAsia="Calibri" w:hAnsi="Cambria Math" w:cs="Cambria Math"/>
          <w:sz w:val="28"/>
          <w:szCs w:val="28"/>
        </w:rPr>
        <w:t>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. Таким образом, максимальная раскачка струны достигается, если значение sin </w:t>
      </w:r>
      <w:r>
        <w:rPr>
          <w:rFonts w:ascii="Cambria Math" w:eastAsia="Calibri" w:hAnsi="Cambria Math" w:cs="Cambria Math"/>
          <w:sz w:val="28"/>
          <w:szCs w:val="28"/>
        </w:rPr>
        <w:t>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устремить к нулю, что и соответствует положениям узлов (из идеализированной модели струны следует, что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при размещении вибратора в узле амплитуда колебаний</w:t>
      </w: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устремится к бесконечности, однако в реальности она ограничивается силами трения и нелинейными эффектами). Заметим также, что при наблюдении стоячих волн важно, чтобы колебания происходили в одной (верти</w:t>
      </w:r>
      <w:r>
        <w:rPr>
          <w:rFonts w:ascii="Times New Roman" w:eastAsia="Calibri" w:hAnsi="Times New Roman" w:cs="Times New Roman"/>
          <w:sz w:val="28"/>
          <w:szCs w:val="28"/>
        </w:rPr>
        <w:t>кальной) плоскости, т.е. были поляризованы. Кроме того, важно, чтобы колебания струны происходили с малой амплитудой, поскольку при сильном возбуждении нарушаются условия применимости волнового уравнения (3), и в опыте наблюдаются искажения, связанные с не</w:t>
      </w:r>
      <w:r>
        <w:rPr>
          <w:rFonts w:ascii="Times New Roman" w:eastAsia="Calibri" w:hAnsi="Times New Roman" w:cs="Times New Roman"/>
          <w:sz w:val="28"/>
          <w:szCs w:val="28"/>
        </w:rPr>
        <w:t xml:space="preserve">линейными эффектами (см. Приложение 1). </w:t>
      </w:r>
    </w:p>
    <w:p w:rsidR="005269BE" w:rsidRDefault="00B62064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Экспериментальная установка</w:t>
      </w: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Схема установки приведена на Рис. 3. Стальная гитарная струна 1 закрепляется в горизонтальном положении между двумя стойками с зажимами 2 и 3, расположенными на массивной станине 4. </w:t>
      </w:r>
      <w:r>
        <w:rPr>
          <w:rFonts w:ascii="Times New Roman" w:eastAsia="Calibri" w:hAnsi="Times New Roman" w:cs="Times New Roman"/>
          <w:sz w:val="28"/>
          <w:szCs w:val="28"/>
        </w:rPr>
        <w:t>Один конец струны закреплен в зажиме 2 неподвижно. К противоположному концу струны, перекинутому через блок, прикреплена платформа с грузами 5, создающими натяжение струны. Зажим 3 можно передвигать по станине, устанавливая требуемую длину струны. Возбужде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ние и регистрация колебаний струны осуществляются с помощью электромагнитных датчиков (вибраторов), расположенных на станине под струной.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Электромагнитный датчик 6 подключен к звуковому генератору 7 и служит для возбуждения колебаний струны, частота которы</w:t>
      </w:r>
      <w:r>
        <w:rPr>
          <w:rFonts w:ascii="Times New Roman" w:eastAsia="Calibri" w:hAnsi="Times New Roman" w:cs="Times New Roman"/>
          <w:sz w:val="28"/>
          <w:szCs w:val="28"/>
        </w:rPr>
        <w:t>х измеряется с помощью частотомера 10 (в некоторых установках частотомер встроен в генератор). Колебания струны регистрируются с помощью электромагнитного датчика 8, сигнал с которого передается на вход осциллографа 9. Разъёмы, через которые датчики с помо</w:t>
      </w:r>
      <w:r>
        <w:rPr>
          <w:rFonts w:ascii="Times New Roman" w:eastAsia="Calibri" w:hAnsi="Times New Roman" w:cs="Times New Roman"/>
          <w:sz w:val="28"/>
          <w:szCs w:val="28"/>
        </w:rPr>
        <w:t>щью кабелей соединяются с генератором и осциллографом, расположены на корпусе станины.</w:t>
      </w:r>
    </w:p>
    <w:p w:rsidR="005269BE" w:rsidRDefault="005269BE">
      <w:pPr>
        <w:rPr>
          <w:rFonts w:ascii="Times New Roman" w:hAnsi="Times New Roman" w:cs="Times New Roman"/>
          <w:sz w:val="28"/>
          <w:szCs w:val="28"/>
        </w:rPr>
      </w:pPr>
    </w:p>
    <w:p w:rsidR="005269BE" w:rsidRDefault="00B62064">
      <w:pPr>
        <w:jc w:val="center"/>
      </w:pPr>
      <w:r>
        <w:rPr>
          <w:noProof/>
        </w:rPr>
        <w:drawing>
          <wp:inline distT="0" distB="0" distL="0" distR="0">
            <wp:extent cx="5657850" cy="2616835"/>
            <wp:effectExtent l="0" t="0" r="0" b="0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BE" w:rsidRDefault="00B620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:rsidR="005269BE" w:rsidRDefault="00B6206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I Часть. Визуальное наблюдение </w:t>
      </w:r>
    </w:p>
    <w:p w:rsidR="005269BE" w:rsidRDefault="00B62064">
      <w:r>
        <w:rPr>
          <w:rFonts w:ascii="Times New Roman" w:hAnsi="Times New Roman" w:cs="Times New Roman"/>
          <w:sz w:val="28"/>
          <w:szCs w:val="28"/>
        </w:rPr>
        <w:t>1. Натянем струну с помощью груза массой 1,075 кг.</w:t>
      </w:r>
    </w:p>
    <w:p w:rsidR="005269BE" w:rsidRDefault="00B62064">
      <w:r>
        <w:rPr>
          <w:rFonts w:ascii="Times New Roman" w:hAnsi="Times New Roman" w:cs="Times New Roman"/>
          <w:sz w:val="28"/>
          <w:szCs w:val="28"/>
        </w:rPr>
        <w:t>2. Оценим скорость распространения волн по формуле (2).  Рассчитаем част</w:t>
      </w:r>
      <w:r>
        <w:rPr>
          <w:rFonts w:ascii="Times New Roman" w:hAnsi="Times New Roman" w:cs="Times New Roman"/>
          <w:sz w:val="28"/>
          <w:szCs w:val="28"/>
        </w:rPr>
        <w:t>оту первой гармоники по формуле (9).</w:t>
      </w:r>
    </w:p>
    <w:p w:rsidR="005269BE" w:rsidRDefault="00B62064">
      <w:r>
        <w:rPr>
          <w:rFonts w:ascii="Times New Roman" w:hAnsi="Times New Roman" w:cs="Times New Roman"/>
          <w:sz w:val="28"/>
          <w:szCs w:val="28"/>
        </w:rPr>
        <w:t>3. Включим генератор и частотомер, установим максимальную амплитуду и синусоидальный сигнал. При амплитуде в 20 В на резонансных частотах при соответствующих гармониках можно наблюдать пучности и узлы как на рисунке выш</w:t>
      </w:r>
      <w:r>
        <w:rPr>
          <w:rFonts w:ascii="Times New Roman" w:hAnsi="Times New Roman" w:cs="Times New Roman"/>
          <w:sz w:val="28"/>
          <w:szCs w:val="28"/>
        </w:rPr>
        <w:t>е. Значения резонансных частот приведено в таблице 1.</w:t>
      </w:r>
    </w:p>
    <w:p w:rsidR="005269BE" w:rsidRDefault="00B62064">
      <w:pPr>
        <w:jc w:val="right"/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c"/>
        <w:tblpPr w:leftFromText="180" w:rightFromText="180" w:vertAnchor="text" w:tblpX="-436" w:tblpY="1"/>
        <w:tblW w:w="10348" w:type="dxa"/>
        <w:tblInd w:w="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083"/>
        <w:gridCol w:w="753"/>
        <w:gridCol w:w="855"/>
        <w:gridCol w:w="850"/>
        <w:gridCol w:w="849"/>
        <w:gridCol w:w="850"/>
        <w:gridCol w:w="854"/>
        <w:gridCol w:w="994"/>
        <w:gridCol w:w="992"/>
        <w:gridCol w:w="1134"/>
        <w:gridCol w:w="1134"/>
      </w:tblGrid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5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5269BE">
        <w:tc>
          <w:tcPr>
            <w:tcW w:w="6097" w:type="dxa"/>
            <w:gridSpan w:val="7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F=mg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10,75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0,03)Н</w:t>
            </w:r>
          </w:p>
        </w:tc>
        <w:tc>
          <w:tcPr>
            <w:tcW w:w="992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1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,Гц</w:t>
            </w:r>
            <w:proofErr w:type="gramEnd"/>
          </w:p>
        </w:tc>
        <w:tc>
          <w:tcPr>
            <w:tcW w:w="75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856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274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414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554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970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1115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1255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1396</w:t>
            </w: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,Гц</w:t>
            </w:r>
            <w:proofErr w:type="gramEnd"/>
          </w:p>
        </w:tc>
        <w:tc>
          <w:tcPr>
            <w:tcW w:w="754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139</w:t>
            </w:r>
          </w:p>
        </w:tc>
        <w:tc>
          <w:tcPr>
            <w:tcW w:w="856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278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417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556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695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834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973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1112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1251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1400</w:t>
            </w: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</w:rPr>
                <m:t>Δ</m:t>
              </m:r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28575" cy="32385"/>
                  <wp:effectExtent l="0" t="0" r="0" b="0"/>
                  <wp:wrapNone/>
                  <wp:docPr id="4" name="Рукописный ввод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укописный ввод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3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95885</wp:posOffset>
                  </wp:positionV>
                  <wp:extent cx="46990" cy="46990"/>
                  <wp:effectExtent l="0" t="0" r="0" b="0"/>
                  <wp:wrapNone/>
                  <wp:docPr id="5" name="Рукописный ввод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укописный ввод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hAnsi="Cambria Math"/>
                </w:rPr>
                <m:t>,Гц</m:t>
              </m:r>
            </m:oMath>
          </w:p>
        </w:tc>
        <w:tc>
          <w:tcPr>
            <w:tcW w:w="754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56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269BE">
        <w:tc>
          <w:tcPr>
            <w:tcW w:w="6097" w:type="dxa"/>
            <w:gridSpan w:val="7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F=(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m+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)g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(15,59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0,04)Н</w:t>
            </w:r>
          </w:p>
        </w:tc>
        <w:tc>
          <w:tcPr>
            <w:tcW w:w="992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1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,Гц</w:t>
            </w:r>
            <w:proofErr w:type="gramEnd"/>
          </w:p>
        </w:tc>
        <w:tc>
          <w:tcPr>
            <w:tcW w:w="75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856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498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665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836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1004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1170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1334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1502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1668</w:t>
            </w:r>
          </w:p>
        </w:tc>
      </w:tr>
      <w:tr w:rsidR="005269BE">
        <w:trPr>
          <w:trHeight w:val="58"/>
        </w:trPr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,Гц</w:t>
            </w:r>
            <w:proofErr w:type="gramEnd"/>
          </w:p>
        </w:tc>
        <w:tc>
          <w:tcPr>
            <w:tcW w:w="75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85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334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501</w:t>
            </w: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668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835</w:t>
            </w:r>
          </w:p>
        </w:tc>
        <w:tc>
          <w:tcPr>
            <w:tcW w:w="84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1002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1169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1336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1503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1670</w:t>
            </w: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</w:rPr>
                <m:t>Δ</m:t>
              </m:r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rPr>
                <w:noProof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95885</wp:posOffset>
                  </wp:positionV>
                  <wp:extent cx="46990" cy="46990"/>
                  <wp:effectExtent l="0" t="0" r="0" b="0"/>
                  <wp:wrapNone/>
                  <wp:docPr id="6" name="Рукописный ввод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укописный ввод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5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28575" cy="32385"/>
                  <wp:effectExtent l="0" t="0" r="0" b="0"/>
                  <wp:wrapNone/>
                  <wp:docPr id="7" name="Рукописный ввод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укописный ввод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3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hAnsi="Cambria Math"/>
                </w:rPr>
                <m:t>,Гц</m:t>
              </m:r>
            </m:oMath>
          </w:p>
        </w:tc>
        <w:tc>
          <w:tcPr>
            <w:tcW w:w="754" w:type="dxa"/>
            <w:tcBorders>
              <w:top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49" w:type="dxa"/>
            <w:tcBorders>
              <w:top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849" w:type="dxa"/>
            <w:tcBorders>
              <w:top w:val="nil"/>
            </w:tcBorders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269BE">
        <w:tc>
          <w:tcPr>
            <w:tcW w:w="6097" w:type="dxa"/>
            <w:gridSpan w:val="7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F=(m+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M)g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(20,35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0,05)Н</w:t>
            </w:r>
          </w:p>
        </w:tc>
        <w:tc>
          <w:tcPr>
            <w:tcW w:w="992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1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,Гц</w:t>
            </w:r>
            <w:proofErr w:type="gramEnd"/>
          </w:p>
        </w:tc>
        <w:tc>
          <w:tcPr>
            <w:tcW w:w="75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186</w:t>
            </w:r>
          </w:p>
        </w:tc>
        <w:tc>
          <w:tcPr>
            <w:tcW w:w="856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382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565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762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943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1136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1319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1508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1698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1887</w:t>
            </w: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,Гц</w:t>
            </w:r>
            <w:proofErr w:type="gramEnd"/>
          </w:p>
        </w:tc>
        <w:tc>
          <w:tcPr>
            <w:tcW w:w="754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189</w:t>
            </w:r>
          </w:p>
        </w:tc>
        <w:tc>
          <w:tcPr>
            <w:tcW w:w="856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378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567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756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945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1134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1323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1512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1701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1890</w:t>
            </w: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</w:rPr>
                <m:t>Δ</m:t>
              </m:r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rPr>
                <w:noProof/>
              </w:rPr>
              <w:drawing>
                <wp:anchor distT="0" distB="0" distL="0" distR="0" simplePos="0" relativeHeight="6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28575" cy="32385"/>
                  <wp:effectExtent l="0" t="0" r="0" b="0"/>
                  <wp:wrapNone/>
                  <wp:docPr id="8" name="Рукописный ввод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укописный ввод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3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7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95885</wp:posOffset>
                  </wp:positionV>
                  <wp:extent cx="46990" cy="46990"/>
                  <wp:effectExtent l="0" t="0" r="0" b="0"/>
                  <wp:wrapNone/>
                  <wp:docPr id="9" name="Рукописный ввод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укописный ввод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hAnsi="Cambria Math"/>
                </w:rPr>
                <m:t>,Гц</m:t>
              </m:r>
            </m:oMath>
          </w:p>
        </w:tc>
        <w:tc>
          <w:tcPr>
            <w:tcW w:w="754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56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269BE">
        <w:tc>
          <w:tcPr>
            <w:tcW w:w="6097" w:type="dxa"/>
            <w:gridSpan w:val="7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F=(m+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M)g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(25,70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0,06)Н</w:t>
            </w:r>
          </w:p>
        </w:tc>
        <w:tc>
          <w:tcPr>
            <w:tcW w:w="992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1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,Гц</w:t>
            </w:r>
            <w:proofErr w:type="gramEnd"/>
          </w:p>
        </w:tc>
        <w:tc>
          <w:tcPr>
            <w:tcW w:w="75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856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625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832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1043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1252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1463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1674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1885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2094</w:t>
            </w: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,Гц</w:t>
            </w:r>
            <w:proofErr w:type="gramEnd"/>
          </w:p>
        </w:tc>
        <w:tc>
          <w:tcPr>
            <w:tcW w:w="754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</w:t>
            </w:r>
          </w:p>
        </w:tc>
        <w:tc>
          <w:tcPr>
            <w:tcW w:w="856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420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630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840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1050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1260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1470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1680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1890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2100</w:t>
            </w: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</w:rPr>
                <m:t>Δ</m:t>
              </m:r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rPr>
                <w:noProof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28575" cy="32385"/>
                  <wp:effectExtent l="0" t="0" r="0" b="0"/>
                  <wp:wrapNone/>
                  <wp:docPr id="10" name="Рукописный ввод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укописный ввод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3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95885</wp:posOffset>
                  </wp:positionV>
                  <wp:extent cx="46990" cy="46990"/>
                  <wp:effectExtent l="0" t="0" r="0" b="0"/>
                  <wp:wrapNone/>
                  <wp:docPr id="11" name="Рукописный ввод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укописный ввод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hAnsi="Cambria Math"/>
                </w:rPr>
                <m:t>,Гц</m:t>
              </m:r>
            </m:oMath>
          </w:p>
        </w:tc>
        <w:tc>
          <w:tcPr>
            <w:tcW w:w="754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56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5269BE">
        <w:tc>
          <w:tcPr>
            <w:tcW w:w="6097" w:type="dxa"/>
            <w:gridSpan w:val="7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F=(m+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M)g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(30,03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0,07)Н</w:t>
            </w:r>
          </w:p>
        </w:tc>
        <w:tc>
          <w:tcPr>
            <w:tcW w:w="992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1" w:type="dxa"/>
            <w:shd w:val="clear" w:color="auto" w:fill="auto"/>
          </w:tcPr>
          <w:p w:rsidR="005269BE" w:rsidRDefault="005269B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,Гц</w:t>
            </w:r>
            <w:proofErr w:type="gramEnd"/>
          </w:p>
        </w:tc>
        <w:tc>
          <w:tcPr>
            <w:tcW w:w="75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227</w:t>
            </w:r>
          </w:p>
        </w:tc>
        <w:tc>
          <w:tcPr>
            <w:tcW w:w="856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684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912</w:t>
            </w:r>
          </w:p>
        </w:tc>
        <w:tc>
          <w:tcPr>
            <w:tcW w:w="850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849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1370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1599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1828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2058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2285</w:t>
            </w: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,Гц</w:t>
            </w:r>
            <w:proofErr w:type="gramEnd"/>
          </w:p>
        </w:tc>
        <w:tc>
          <w:tcPr>
            <w:tcW w:w="754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229</w:t>
            </w:r>
          </w:p>
        </w:tc>
        <w:tc>
          <w:tcPr>
            <w:tcW w:w="856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458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687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916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1145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1374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1603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1832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2061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2290</w:t>
            </w:r>
          </w:p>
        </w:tc>
      </w:tr>
      <w:tr w:rsidR="005269BE">
        <w:tc>
          <w:tcPr>
            <w:tcW w:w="1084" w:type="dxa"/>
            <w:shd w:val="clear" w:color="auto" w:fill="auto"/>
          </w:tcPr>
          <w:p w:rsidR="005269BE" w:rsidRDefault="00B62064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</w:rPr>
                <m:t>Δ</m:t>
              </m:r>
              <m:acc>
                <m:accPr>
                  <m:chr m:val="´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rPr>
                <w:noProof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28575" cy="32385"/>
                  <wp:effectExtent l="0" t="0" r="0" b="0"/>
                  <wp:wrapNone/>
                  <wp:docPr id="12" name="Рукописный ввод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укописный ввод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3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11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95885</wp:posOffset>
                  </wp:positionV>
                  <wp:extent cx="46990" cy="46990"/>
                  <wp:effectExtent l="0" t="0" r="0" b="0"/>
                  <wp:wrapNone/>
                  <wp:docPr id="13" name="Рукописный ввод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укописный ввод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" cy="4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hAnsi="Cambria Math"/>
                </w:rPr>
                <m:t>,Гц</m:t>
              </m:r>
            </m:oMath>
          </w:p>
        </w:tc>
        <w:tc>
          <w:tcPr>
            <w:tcW w:w="754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56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49" w:type="dxa"/>
            <w:shd w:val="clear" w:color="auto" w:fill="auto"/>
            <w:vAlign w:val="bottom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9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5269BE" w:rsidRDefault="00B6206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</w:tbl>
    <w:p w:rsidR="005269BE" w:rsidRDefault="00B62064"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69BE" w:rsidRDefault="005269BE">
      <w:pPr>
        <w:rPr>
          <w:rFonts w:ascii="Times New Roman" w:hAnsi="Times New Roman" w:cs="Times New Roman"/>
          <w:b/>
          <w:sz w:val="28"/>
          <w:szCs w:val="28"/>
        </w:rPr>
      </w:pPr>
    </w:p>
    <w:p w:rsidR="005269BE" w:rsidRDefault="00B62064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II Часть.  Наблюдение с помощью осциллографа</w:t>
      </w:r>
    </w:p>
    <w:p w:rsidR="005269BE" w:rsidRDefault="005269BE">
      <w:pPr>
        <w:rPr>
          <w:rFonts w:ascii="Times New Roman" w:hAnsi="Times New Roman" w:cs="Times New Roman"/>
          <w:b/>
          <w:sz w:val="28"/>
          <w:szCs w:val="28"/>
        </w:rPr>
      </w:pP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Настроим струну на </w:t>
      </w:r>
      <w:r>
        <w:rPr>
          <w:rFonts w:ascii="Times New Roman" w:hAnsi="Times New Roman" w:cs="Times New Roman"/>
          <w:sz w:val="28"/>
          <w:szCs w:val="28"/>
        </w:rPr>
        <w:t>основную гармонику. Установим датчик в центре под струной.</w:t>
      </w: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Включим осциллограф в сеть и проверим его настройку. Подстроим частоту генератора так, чтобы его амплитуда была максимальна.</w:t>
      </w: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Проведем измерения частот грузов для разных четных и нечетных гарм</w:t>
      </w:r>
      <w:r>
        <w:rPr>
          <w:rFonts w:ascii="Times New Roman" w:hAnsi="Times New Roman" w:cs="Times New Roman"/>
          <w:sz w:val="28"/>
          <w:szCs w:val="28"/>
        </w:rPr>
        <w:t>оник (таблица 1) и для разных грузов. Для четных гармоник смещаем датчик в предварительно рассчитанные положения пучностей.</w:t>
      </w:r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Настроим осциллограф на частоту вдвое меньшую частоты основной гармоники. На экране пронаблюдаем фигуру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Лиссажу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2064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17" name="Рисунок 17" descr="https://pp.userapi.com/c851320/v851320914/45daf/XvobBLCCT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1320/v851320914/45daf/XvobBLCCTdY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9BE" w:rsidRDefault="00B6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>
        <w:rPr>
          <w:rFonts w:ascii="Times New Roman" w:hAnsi="Times New Roman" w:cs="Times New Roman"/>
          <w:sz w:val="28"/>
          <w:szCs w:val="28"/>
        </w:rPr>
        <w:t>Построим график зависимости частоты гармоник от номера гармоник при различных T.</w:t>
      </w:r>
    </w:p>
    <w:p w:rsidR="005269BE" w:rsidRDefault="00B62064">
      <w:r>
        <w:rPr>
          <w:rFonts w:ascii="Times New Roman" w:hAnsi="Times New Roman" w:cs="Times New Roman"/>
          <w:sz w:val="28"/>
          <w:szCs w:val="28"/>
        </w:rPr>
        <w:t>6. Построим график зависимости квадрата скорости от силы натяжения T. При установленной амплитуде 2 Вольта получились данные:</w:t>
      </w:r>
    </w:p>
    <w:p w:rsidR="005269BE" w:rsidRDefault="00B62064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B75BC" w:rsidRDefault="001B75BC">
      <w:r>
        <w:rPr>
          <w:noProof/>
        </w:rPr>
        <w:lastRenderedPageBreak/>
        <w:drawing>
          <wp:inline distT="0" distB="0" distL="0" distR="0" wp14:anchorId="18AAC922" wp14:editId="6AF2CBF4">
            <wp:extent cx="5120640" cy="5875020"/>
            <wp:effectExtent l="0" t="0" r="3810" b="1143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DE88B6C8-79F6-4700-96CD-A838DFA611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1B75B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BE"/>
    <w:rsid w:val="001B75BC"/>
    <w:rsid w:val="005269BE"/>
    <w:rsid w:val="00B6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A3F4"/>
  <w15:docId w15:val="{4F98A583-6E1F-41DA-8B75-E823B27E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62CEC"/>
  </w:style>
  <w:style w:type="character" w:customStyle="1" w:styleId="a4">
    <w:name w:val="Нижний колонтитул Знак"/>
    <w:basedOn w:val="a0"/>
    <w:uiPriority w:val="99"/>
    <w:qFormat/>
    <w:rsid w:val="00F62CEC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header"/>
    <w:basedOn w:val="a"/>
    <w:uiPriority w:val="99"/>
    <w:unhideWhenUsed/>
    <w:rsid w:val="00F62CEC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F62CEC"/>
    <w:pPr>
      <w:tabs>
        <w:tab w:val="center" w:pos="4677"/>
        <w:tab w:val="right" w:pos="9355"/>
      </w:tabs>
      <w:spacing w:after="0" w:line="240" w:lineRule="auto"/>
    </w:pPr>
  </w:style>
  <w:style w:type="table" w:styleId="ac">
    <w:name w:val="Table Grid"/>
    <w:basedOn w:val="a1"/>
    <w:uiPriority w:val="59"/>
    <w:rsid w:val="00172792"/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image" Target="media/image2.jpeg"/><Relationship Id="rId18" Type="http://schemas.openxmlformats.org/officeDocument/2006/relationships/chart" Target="charts/chart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settings" Target="settings.xml"/><Relationship Id="rId19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3.png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latin typeface="Calibri"/>
              </a:rPr>
              <a:t>зависимость  𝑢^2 от Т  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</c:strCache>
            </c:strRef>
          </c:tx>
          <c:spPr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80">
                <a:solidFill>
                  <a:srgbClr val="4472C4"/>
                </a:solidFill>
                <a:round/>
              </a:ln>
            </c:spPr>
            <c:trendlineType val="linear"/>
            <c:dispRSqr val="0"/>
            <c:dispEq val="0"/>
          </c:trendline>
          <c:xVal>
            <c:numRef>
              <c:f>1</c:f>
              <c:numCache>
                <c:formatCode>General</c:formatCode>
                <c:ptCount val="5"/>
                <c:pt idx="0">
                  <c:v>10.75</c:v>
                </c:pt>
                <c:pt idx="1">
                  <c:v>15.59</c:v>
                </c:pt>
                <c:pt idx="2">
                  <c:v>20.350000000000001</c:v>
                </c:pt>
                <c:pt idx="3">
                  <c:v>25.7</c:v>
                </c:pt>
                <c:pt idx="4">
                  <c:v>30.03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18496</c:v>
                </c:pt>
                <c:pt idx="1">
                  <c:v>27556</c:v>
                </c:pt>
                <c:pt idx="2">
                  <c:v>34596</c:v>
                </c:pt>
                <c:pt idx="3">
                  <c:v>43264</c:v>
                </c:pt>
                <c:pt idx="4">
                  <c:v>51529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F5-4670-947A-69979DF7F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25641"/>
        <c:axId val="55529115"/>
      </c:scatterChart>
      <c:valAx>
        <c:axId val="31825641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55529115"/>
        <c:crosses val="autoZero"/>
        <c:crossBetween val="midCat"/>
      </c:valAx>
      <c:valAx>
        <c:axId val="5552911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31825641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частоты резонанса от номера гармониеи при разных Т</a:t>
            </a:r>
            <a:endParaRPr lang="ru-RU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2 груза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Лист1!$B$2:$K$2</c:f>
              <c:numCache>
                <c:formatCode>General</c:formatCode>
                <c:ptCount val="10"/>
                <c:pt idx="0">
                  <c:v>136</c:v>
                </c:pt>
                <c:pt idx="1">
                  <c:v>274</c:v>
                </c:pt>
                <c:pt idx="2">
                  <c:v>414</c:v>
                </c:pt>
                <c:pt idx="3">
                  <c:v>554</c:v>
                </c:pt>
                <c:pt idx="4">
                  <c:v>692</c:v>
                </c:pt>
                <c:pt idx="5">
                  <c:v>830</c:v>
                </c:pt>
                <c:pt idx="6">
                  <c:v>970</c:v>
                </c:pt>
                <c:pt idx="7">
                  <c:v>1115</c:v>
                </c:pt>
                <c:pt idx="8">
                  <c:v>1255</c:v>
                </c:pt>
                <c:pt idx="9">
                  <c:v>1396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0D-42BB-82DC-C46D1758F321}"/>
            </c:ext>
          </c:extLst>
        </c:ser>
        <c:ser>
          <c:idx val="1"/>
          <c:order val="1"/>
          <c:tx>
            <c:v>3 груза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Лист1!$B$3:$K$3</c:f>
              <c:numCache>
                <c:formatCode>General</c:formatCode>
                <c:ptCount val="10"/>
                <c:pt idx="0">
                  <c:v>166</c:v>
                </c:pt>
                <c:pt idx="1">
                  <c:v>337</c:v>
                </c:pt>
                <c:pt idx="2">
                  <c:v>498</c:v>
                </c:pt>
                <c:pt idx="3">
                  <c:v>665</c:v>
                </c:pt>
                <c:pt idx="4">
                  <c:v>836</c:v>
                </c:pt>
                <c:pt idx="5">
                  <c:v>1004</c:v>
                </c:pt>
                <c:pt idx="6">
                  <c:v>1170</c:v>
                </c:pt>
                <c:pt idx="7">
                  <c:v>1334</c:v>
                </c:pt>
                <c:pt idx="8">
                  <c:v>1502</c:v>
                </c:pt>
                <c:pt idx="9">
                  <c:v>1668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0D-42BB-82DC-C46D1758F321}"/>
            </c:ext>
          </c:extLst>
        </c:ser>
        <c:ser>
          <c:idx val="2"/>
          <c:order val="2"/>
          <c:tx>
            <c:v>4 груза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Лист1!$B$4:$K$4</c:f>
              <c:numCache>
                <c:formatCode>General</c:formatCode>
                <c:ptCount val="10"/>
                <c:pt idx="0">
                  <c:v>186</c:v>
                </c:pt>
                <c:pt idx="1">
                  <c:v>382</c:v>
                </c:pt>
                <c:pt idx="2">
                  <c:v>565</c:v>
                </c:pt>
                <c:pt idx="3">
                  <c:v>762</c:v>
                </c:pt>
                <c:pt idx="4">
                  <c:v>943</c:v>
                </c:pt>
                <c:pt idx="5">
                  <c:v>1136</c:v>
                </c:pt>
                <c:pt idx="6">
                  <c:v>1319</c:v>
                </c:pt>
                <c:pt idx="7">
                  <c:v>1508</c:v>
                </c:pt>
                <c:pt idx="8">
                  <c:v>1698</c:v>
                </c:pt>
                <c:pt idx="9">
                  <c:v>1887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0D-42BB-82DC-C46D1758F321}"/>
            </c:ext>
          </c:extLst>
        </c:ser>
        <c:ser>
          <c:idx val="3"/>
          <c:order val="3"/>
          <c:tx>
            <c:v>5 грузов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Лист1!$B$5:$K$5</c:f>
              <c:numCache>
                <c:formatCode>General</c:formatCode>
                <c:ptCount val="10"/>
                <c:pt idx="0">
                  <c:v>208</c:v>
                </c:pt>
                <c:pt idx="1">
                  <c:v>415</c:v>
                </c:pt>
                <c:pt idx="2">
                  <c:v>625</c:v>
                </c:pt>
                <c:pt idx="3">
                  <c:v>832</c:v>
                </c:pt>
                <c:pt idx="4">
                  <c:v>1043</c:v>
                </c:pt>
                <c:pt idx="5">
                  <c:v>1252</c:v>
                </c:pt>
                <c:pt idx="6">
                  <c:v>1463</c:v>
                </c:pt>
                <c:pt idx="7">
                  <c:v>1674</c:v>
                </c:pt>
                <c:pt idx="8">
                  <c:v>1885</c:v>
                </c:pt>
                <c:pt idx="9">
                  <c:v>2094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0D-42BB-82DC-C46D1758F321}"/>
            </c:ext>
          </c:extLst>
        </c:ser>
        <c:ser>
          <c:idx val="4"/>
          <c:order val="4"/>
          <c:tx>
            <c:v>6 грузов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Лист1!$B$6:$K$6</c:f>
              <c:numCache>
                <c:formatCode>General</c:formatCode>
                <c:ptCount val="10"/>
                <c:pt idx="0">
                  <c:v>227</c:v>
                </c:pt>
                <c:pt idx="1">
                  <c:v>456</c:v>
                </c:pt>
                <c:pt idx="2">
                  <c:v>684</c:v>
                </c:pt>
                <c:pt idx="3">
                  <c:v>912</c:v>
                </c:pt>
                <c:pt idx="4">
                  <c:v>1141</c:v>
                </c:pt>
                <c:pt idx="5">
                  <c:v>1370</c:v>
                </c:pt>
                <c:pt idx="6">
                  <c:v>1599</c:v>
                </c:pt>
                <c:pt idx="7">
                  <c:v>1828</c:v>
                </c:pt>
                <c:pt idx="8">
                  <c:v>2058</c:v>
                </c:pt>
                <c:pt idx="9">
                  <c:v>2285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30D-42BB-82DC-C46D1758F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6423224"/>
        <c:axId val="576423544"/>
      </c:lineChart>
      <c:catAx>
        <c:axId val="576423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гармоники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423544"/>
        <c:crosses val="autoZero"/>
        <c:auto val="1"/>
        <c:lblAlgn val="ctr"/>
        <c:lblOffset val="100"/>
        <c:noMultiLvlLbl val="0"/>
      </c:catAx>
      <c:valAx>
        <c:axId val="57642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  <a:r>
                  <a:rPr lang="ru-RU" baseline="0"/>
                  <a:t> резонанса,Гц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423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6T07:34:29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14 116 3657,'-6'-2'1856,"2"-5"-608,2-4-639,0-3-169,4 1-304,2 1-128,-1-2-280,-1 0-280,0 2-649,-1 1-439,0 5 992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6T07:34:27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0 2320,'-6'4'1105,"3"-1"-425,0 0-400,-2 1-520,0 1-216,1-1 272</inkml:trace>
  <inkml:trace contextRef="#ctx0" brushRef="#br0" timeOffset="397.092">5 44 976,'-2'-5'352,"-1"-13"-184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6T06:12:49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0 4897,'-25'32'1600,"6"-10"-1672,1-7 72,3-10-48,15 0-72,-3-8-304,6-6-328,6-12 472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6T06:53:58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0 4897,'-25'32'1600,"6"-10"-1672,1-7 72,3-10-48,15 0-72,-3-8-304,6-6-328,6-12 472</inkml:trace>
</inkml:ink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6T05:28:27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 5113,'0'-12'64,"1"12"80,2-2-144,-2-2-40,-1 3-16,0 0 0,0 0-88,0-1-96,0 1-128,6-1-192,1-1 80,-2 1 112,-1 0 112,-4 1 56,2-1-25,-2 1-319,0 1 320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9BBE5-E4E4-4A6B-9ADA-CDA66B88D3C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969BBE5-E4E4-4A6B-9ADA-CDA66B88D3C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969BBE5-E4E4-4A6B-9ADA-CDA66B88D3C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969BBE5-E4E4-4A6B-9ADA-CDA66B88D3C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969BBE5-E4E4-4A6B-9ADA-CDA66B88D3C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969BBE5-E4E4-4A6B-9ADA-CDA66B88D3CA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3EAB012C-2C77-4725-949B-E24DE1258CC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34CF64B-3779-4F47-9B31-4032F395E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2169</Words>
  <Characters>12366</Characters>
  <Application>Microsoft Office Word</Application>
  <DocSecurity>0</DocSecurity>
  <Lines>103</Lines>
  <Paragraphs>29</Paragraphs>
  <ScaleCrop>false</ScaleCrop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Бежко</dc:creator>
  <dc:description/>
  <cp:lastModifiedBy>Данила Бежко</cp:lastModifiedBy>
  <cp:revision>9</cp:revision>
  <dcterms:created xsi:type="dcterms:W3CDTF">2018-11-15T12:02:00Z</dcterms:created>
  <dcterms:modified xsi:type="dcterms:W3CDTF">2018-11-16T09:27:00Z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