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28"/>
          <w:szCs w:val="28"/>
        </w:rPr>
      </w:pPr>
      <w:r>
        <w:rPr>
          <w:rFonts w:ascii="Times New Roman" w:hAnsi="Times New Roman"/>
          <w:sz w:val="28"/>
          <w:szCs w:val="28"/>
        </w:rPr>
        <w:t>Машинне навчання для прогнозування інгібування TRPA1 людини: валідація за хімічними каркасами, хімічна віддаленість і неоднорідність літературних даних</w:t>
      </w:r>
    </w:p>
    <w:p>
      <w:pPr>
        <w:pStyle w:val="Normal"/>
        <w:bidi w:val="0"/>
        <w:jc w:val="start"/>
        <w:rPr>
          <w:rFonts w:ascii="Times New Roman" w:hAnsi="Times New Roman"/>
          <w:sz w:val="28"/>
          <w:szCs w:val="28"/>
        </w:rPr>
      </w:pPr>
      <w:r>
        <w:rPr>
          <w:rFonts w:ascii="Times New Roman" w:hAnsi="Times New Roman"/>
          <w:sz w:val="28"/>
          <w:szCs w:val="28"/>
        </w:rPr>
      </w:r>
    </w:p>
    <w:p>
      <w:pPr>
        <w:pStyle w:val="Normal"/>
        <w:bidi w:val="0"/>
        <w:jc w:val="center"/>
        <w:rPr>
          <w:rFonts w:ascii="Times New Roman" w:hAnsi="Times New Roman"/>
          <w:sz w:val="28"/>
          <w:szCs w:val="28"/>
        </w:rPr>
      </w:pPr>
      <w:r>
        <w:rPr>
          <w:rFonts w:ascii="Times New Roman" w:hAnsi="Times New Roman"/>
          <w:sz w:val="28"/>
          <w:szCs w:val="28"/>
        </w:rPr>
        <w:t>Machine Learning for Human TRPA1 Inhibition Prediction: Chemical Scaffold Validation, Chemical Distance, and Heterogeneity of Published Data</w:t>
      </w:r>
    </w:p>
    <w:p>
      <w:pPr>
        <w:pStyle w:val="Normal"/>
        <w:bidi w:val="0"/>
        <w:jc w:val="center"/>
        <w:rPr>
          <w:rFonts w:ascii="Times New Roman" w:hAnsi="Times New Roman"/>
          <w:sz w:val="28"/>
          <w:szCs w:val="28"/>
        </w:rPr>
      </w:pPr>
      <w:r>
        <w:rPr>
          <w:rFonts w:ascii="Times New Roman" w:hAnsi="Times New Roman"/>
          <w:sz w:val="28"/>
          <w:szCs w:val="28"/>
        </w:rPr>
      </w:r>
    </w:p>
    <w:p>
      <w:pPr>
        <w:pStyle w:val="Normal"/>
        <w:bidi w:val="0"/>
        <w:spacing w:lineRule="auto" w:line="360" w:before="0" w:after="40"/>
        <w:ind w:hanging="0"/>
        <w:jc w:val="both"/>
        <w:rPr>
          <w:rFonts w:ascii="Times New Roman" w:hAnsi="Times New Roman"/>
          <w:sz w:val="28"/>
          <w:szCs w:val="28"/>
        </w:rPr>
      </w:pPr>
      <w:r>
        <w:rPr>
          <w:rFonts w:ascii="Times New Roman" w:hAnsi="Times New Roman"/>
          <w:b/>
          <w:bCs/>
          <w:sz w:val="28"/>
          <w:szCs w:val="28"/>
        </w:rPr>
        <w:t>Актуальність</w:t>
      </w:r>
      <w:r>
        <w:rPr>
          <w:rFonts w:ascii="Times New Roman" w:hAnsi="Times New Roman"/>
          <w:sz w:val="28"/>
          <w:szCs w:val="28"/>
        </w:rPr>
        <w:t>. Транзієнтний рецепторний потенціал</w:t>
      </w:r>
      <w:r>
        <w:rPr>
          <w:rFonts w:ascii="Times New Roman" w:hAnsi="Times New Roman"/>
          <w:sz w:val="28"/>
          <w:szCs w:val="28"/>
          <w:lang w:val="uk-UA"/>
        </w:rPr>
        <w:t xml:space="preserve"> керований</w:t>
      </w:r>
      <w:r>
        <w:rPr>
          <w:rFonts w:ascii="Times New Roman" w:hAnsi="Times New Roman"/>
          <w:sz w:val="28"/>
          <w:szCs w:val="28"/>
          <w:lang w:val="uk-UA"/>
        </w:rPr>
        <w:t xml:space="preserve"> </w:t>
      </w:r>
      <w:r>
        <w:rPr>
          <w:rFonts w:ascii="Times New Roman" w:hAnsi="Times New Roman"/>
          <w:sz w:val="28"/>
          <w:szCs w:val="28"/>
        </w:rPr>
        <w:t>анкіриновий 1 (TRPA1) канал є перспективною мішенню для пошуку аналгетичних засобів, а</w:t>
      </w:r>
      <w:r>
        <w:rPr>
          <w:rFonts w:ascii="Times New Roman" w:hAnsi="Times New Roman"/>
          <w:sz w:val="28"/>
          <w:szCs w:val="28"/>
          <w:lang w:val="uk-UA"/>
        </w:rPr>
        <w:t>ле</w:t>
      </w:r>
      <w:r>
        <w:rPr>
          <w:rFonts w:ascii="Times New Roman" w:hAnsi="Times New Roman"/>
          <w:sz w:val="28"/>
          <w:szCs w:val="28"/>
        </w:rPr>
        <w:t xml:space="preserve"> тестування великих бібліотек </w:t>
      </w:r>
      <w:r>
        <w:rPr>
          <w:rFonts w:ascii="Times New Roman" w:hAnsi="Times New Roman"/>
          <w:sz w:val="28"/>
          <w:szCs w:val="28"/>
        </w:rPr>
        <w:t>молекул</w:t>
      </w:r>
      <w:r>
        <w:rPr>
          <w:rFonts w:ascii="Times New Roman" w:hAnsi="Times New Roman"/>
          <w:sz w:val="28"/>
          <w:szCs w:val="28"/>
        </w:rPr>
        <w:t xml:space="preserve"> потребує структурної пріоритизації. Надійність моделей може залежати від неоднорідності літературних даних і способу валідації.</w:t>
      </w:r>
    </w:p>
    <w:p>
      <w:pPr>
        <w:pStyle w:val="Normal"/>
        <w:bidi w:val="0"/>
        <w:spacing w:lineRule="auto" w:line="360" w:before="0" w:after="40"/>
        <w:ind w:hanging="0"/>
        <w:jc w:val="both"/>
        <w:rPr>
          <w:rFonts w:ascii="Times New Roman" w:hAnsi="Times New Roman"/>
          <w:sz w:val="28"/>
          <w:szCs w:val="28"/>
        </w:rPr>
      </w:pPr>
      <w:r>
        <w:rPr>
          <w:rFonts w:eastAsia="Times New Roman" w:ascii="Times New Roman" w:hAnsi="Times New Roman"/>
          <w:b/>
          <w:i w:val="false"/>
          <w:sz w:val="28"/>
          <w:szCs w:val="28"/>
        </w:rPr>
        <w:t xml:space="preserve">Мета. </w:t>
      </w:r>
      <w:r>
        <w:rPr>
          <w:rFonts w:eastAsia="Times New Roman" w:ascii="Times New Roman" w:hAnsi="Times New Roman"/>
          <w:sz w:val="28"/>
          <w:szCs w:val="28"/>
        </w:rPr>
        <w:t xml:space="preserve">Оцінити точність прогнозування агрегованого pIC50 інгібування TRPA1 людини для молекулярних каркасів, відсутніх під час навчання, та перевірити зв’язок похибки з розбіжністю опублікованих значень </w:t>
      </w:r>
      <w:r>
        <w:rPr>
          <w:rFonts w:eastAsia="Times New Roman" w:ascii="Times New Roman" w:hAnsi="Times New Roman"/>
          <w:sz w:val="28"/>
          <w:szCs w:val="28"/>
        </w:rPr>
        <w:t>для окремих молекул</w:t>
      </w:r>
      <w:r>
        <w:rPr>
          <w:rFonts w:eastAsia="Times New Roman" w:ascii="Times New Roman" w:hAnsi="Times New Roman"/>
          <w:sz w:val="28"/>
          <w:szCs w:val="28"/>
        </w:rPr>
        <w:t>, хімічною віддаленістю та стратегією поділу даних.</w:t>
      </w:r>
    </w:p>
    <w:p>
      <w:pPr>
        <w:pStyle w:val="Normal"/>
        <w:bidi w:val="0"/>
        <w:spacing w:lineRule="auto" w:line="360" w:before="0" w:after="40"/>
        <w:ind w:hanging="0"/>
        <w:jc w:val="both"/>
        <w:rPr>
          <w:rFonts w:ascii="Times New Roman" w:hAnsi="Times New Roman"/>
          <w:sz w:val="28"/>
          <w:szCs w:val="28"/>
        </w:rPr>
      </w:pPr>
      <w:r>
        <w:rPr>
          <w:rFonts w:ascii="Times New Roman" w:hAnsi="Times New Roman"/>
          <w:b/>
          <w:bCs/>
          <w:sz w:val="28"/>
          <w:szCs w:val="28"/>
        </w:rPr>
        <w:t>Методи</w:t>
      </w:r>
      <w:r>
        <w:rPr>
          <w:rFonts w:ascii="Times New Roman" w:hAnsi="Times New Roman"/>
          <w:sz w:val="28"/>
          <w:szCs w:val="28"/>
        </w:rPr>
        <w:t>. Із ChEMBL 37 відібрано 2196 точних IC50-записів, агрегованих до 1645 сполук і 544 каркасів Bemis–Murcko. Morgan ECFP4, дескриптори RDKit, ChemBERTa та MolFormer поєднували з Random Forest і XGBoost у трьох варіантах п’ятикратної валідації за хімічними каркасами. За прогнозами перехресної перевірки аналізували розбіжність pIC50, подібність Танімото між відбитками Morgan і навчальною вибіркою та порівнювали випадковий поділ із поділом за каркасами.</w:t>
      </w:r>
    </w:p>
    <w:p>
      <w:pPr>
        <w:pStyle w:val="Normal"/>
        <w:bidi w:val="0"/>
        <w:spacing w:lineRule="auto" w:line="360" w:before="0" w:after="40"/>
        <w:ind w:hanging="0"/>
        <w:jc w:val="both"/>
        <w:rPr>
          <w:rFonts w:ascii="Times New Roman" w:hAnsi="Times New Roman"/>
          <w:sz w:val="28"/>
          <w:szCs w:val="28"/>
        </w:rPr>
      </w:pPr>
      <w:r>
        <w:rPr>
          <w:rFonts w:ascii="Times New Roman" w:hAnsi="Times New Roman"/>
          <w:b/>
          <w:bCs/>
          <w:sz w:val="28"/>
          <w:szCs w:val="28"/>
        </w:rPr>
        <w:t>Результати</w:t>
      </w:r>
      <w:r>
        <w:rPr>
          <w:rFonts w:ascii="Times New Roman" w:hAnsi="Times New Roman"/>
          <w:sz w:val="28"/>
          <w:szCs w:val="28"/>
        </w:rPr>
        <w:t>. XGBoost+ChemBERTa і Random Forest+Morgan показали близькі результати валідації за каркасами: R² 0,574±0,009 і 0,572±0,003 відповідно. Для 393 сполук, досліджених у кількох біологічних тестах, зв’язок розбіжності з похибкою був слабким (ρ=0,127–0,164), а для 52 сполук, представлених у кількох документах, — сильнішим (ρ=0,347–0,449). Подібність до навчальної вибірки корелювала з похибкою негативно (ρ≈−0,177). Випадковий поділ підвищував R² на 0,068–0,071; 79,0% тестових молекул мали каркас у навчальній вибірці.</w:t>
      </w:r>
    </w:p>
    <w:p>
      <w:pPr>
        <w:pStyle w:val="Normal"/>
        <w:bidi w:val="0"/>
        <w:spacing w:lineRule="auto" w:line="360" w:before="0" w:after="40"/>
        <w:ind w:hanging="0"/>
        <w:jc w:val="both"/>
        <w:rPr>
          <w:rFonts w:ascii="Times New Roman" w:hAnsi="Times New Roman"/>
          <w:sz w:val="28"/>
          <w:szCs w:val="28"/>
        </w:rPr>
      </w:pPr>
      <w:r>
        <w:rPr>
          <w:rFonts w:ascii="Times New Roman" w:hAnsi="Times New Roman"/>
          <w:b/>
          <w:bCs/>
          <w:sz w:val="28"/>
          <w:szCs w:val="28"/>
        </w:rPr>
        <w:t>Висновки</w:t>
      </w:r>
      <w:r>
        <w:rPr>
          <w:rFonts w:ascii="Times New Roman" w:hAnsi="Times New Roman"/>
          <w:sz w:val="28"/>
          <w:szCs w:val="28"/>
        </w:rPr>
        <w:t>. Молекулярна структура містить відтворюваний прогностичний сигнал, але попередньо навчені представлення не мали стабільної переваги над відбитками Morgan. Для оцінювання перенесення прогнозу на нові каркаси потрібна валідація за хімічними каркасами та експериментальне підтвердження.</w:t>
      </w:r>
    </w:p>
    <w:p>
      <w:pPr>
        <w:pStyle w:val="Normal"/>
        <w:bidi w:val="0"/>
        <w:spacing w:lineRule="auto" w:line="360" w:before="80" w:after="0"/>
        <w:ind w:hanging="0"/>
        <w:jc w:val="start"/>
        <w:rPr>
          <w:rFonts w:ascii="Times New Roman" w:hAnsi="Times New Roman"/>
          <w:sz w:val="28"/>
          <w:szCs w:val="28"/>
        </w:rPr>
      </w:pPr>
      <w:r>
        <w:rPr>
          <w:rFonts w:ascii="Times New Roman" w:hAnsi="Times New Roman"/>
          <w:sz w:val="28"/>
          <w:szCs w:val="28"/>
        </w:rPr>
        <w:t>Ключові слова: TRPA1; інгібітори; pIC50; машинне навчання; хемоінформатика; відбитки Morgan; валідація за хімічними каркасами; область застосовності; ChEMBL.</w:t>
      </w:r>
    </w:p>
    <w:p>
      <w:pPr>
        <w:pStyle w:val="Normal"/>
        <w:bidi w:val="0"/>
        <w:spacing w:lineRule="auto" w:line="360" w:before="80" w:after="0"/>
        <w:ind w:hanging="0"/>
        <w:jc w:val="start"/>
        <w:rPr>
          <w:rFonts w:ascii="Times New Roman" w:hAnsi="Times New Roman"/>
          <w:sz w:val="28"/>
          <w:szCs w:val="28"/>
        </w:rPr>
      </w:pPr>
      <w:r>
        <w:rPr>
          <w:rFonts w:ascii="Times New Roman" w:hAnsi="Times New Roman"/>
          <w:sz w:val="28"/>
          <w:szCs w:val="28"/>
        </w:rPr>
      </w:r>
    </w:p>
    <w:p>
      <w:pPr>
        <w:pStyle w:val="Normal"/>
        <w:bidi w:val="0"/>
        <w:spacing w:before="0" w:after="120"/>
        <w:ind w:hanging="0"/>
        <w:jc w:val="center"/>
        <w:rPr/>
      </w:pPr>
      <w:r>
        <w:rPr>
          <w:rFonts w:eastAsia="Times New Roman" w:ascii="Times New Roman" w:hAnsi="Times New Roman"/>
          <w:b/>
          <w:sz w:val="28"/>
        </w:rPr>
        <w:t>ВСТУП</w:t>
      </w:r>
    </w:p>
    <w:p>
      <w:pPr>
        <w:pStyle w:val="Normal"/>
        <w:bidi w:val="0"/>
        <w:spacing w:lineRule="auto" w:line="360" w:before="0" w:after="0"/>
        <w:ind w:firstLine="709"/>
        <w:jc w:val="both"/>
        <w:rPr>
          <w:sz w:val="28"/>
          <w:szCs w:val="28"/>
        </w:rPr>
      </w:pPr>
      <w:r>
        <w:rPr>
          <w:rFonts w:eastAsia="Times New Roman" w:ascii="Times New Roman" w:hAnsi="Times New Roman"/>
          <w:sz w:val="28"/>
          <w:szCs w:val="28"/>
        </w:rPr>
        <w:t>Транзієнтний рецепторний потенціал анкіриновий 1 (TRPA1) — неселективний катіонний канал, представлений, зокрема, у периферичних сенсорних нейронах. Він реагує на широкий спектр хімічних подразників і ендогенних сигналів ушкодження та бере участь у формуванні ноцицептивної, запальної й нейрогенної больової відповіді [1, 2]. Поєднання периферичної локалізації з участю в сенситизації ноцицепторів зробило TRPA1 перспективною фармакологічною мішенню для пошуку ненаркотичних аналгетиків. Водночас функціональна відповідь каналу залежить від способу його активації, внутрішньоклітинного Ca2+ і процесів десенситизації, що ускладнює пряме зіставлення результатів, отриманих у різних експериментальних системах [1, 16–18].</w:t>
      </w:r>
    </w:p>
    <w:p>
      <w:pPr>
        <w:pStyle w:val="Normal"/>
        <w:bidi w:val="0"/>
        <w:spacing w:lineRule="auto" w:line="360" w:before="0" w:after="0"/>
        <w:ind w:firstLine="709"/>
        <w:jc w:val="both"/>
        <w:rPr>
          <w:sz w:val="28"/>
          <w:szCs w:val="28"/>
        </w:rPr>
      </w:pPr>
      <w:r>
        <w:rPr>
          <w:rFonts w:eastAsia="Times New Roman" w:ascii="Times New Roman" w:hAnsi="Times New Roman"/>
          <w:sz w:val="28"/>
          <w:szCs w:val="28"/>
        </w:rPr>
        <w:t>Експериментальне дослідження великої кількості кандидатних сполук потребує попередньої пріоритезації. Прогноз активності за молекулярною структурою дає змогу оцінювати ще не перевірені сполуки й відбирати найперспективніші з них для подальшого тестування. Розвиток відкритих баз біоактивності, насамперед ChEMBL, і відтворюваних хемоінформатичних інструментів створив основу для таких досліджень [5, 6]. Для представлення структури можуть використовуватися, зокрема, extended-connectivity fingerprints, а для регресії — ансамблеві алгоритми на кшталт XGBoost [7, 8]. Поряд із ними застосовують попередньо навчені молекулярні представлення, однак їхня перевага над традиційними fingerprints і фізико-хімічними дескрипторами залежить від набору даних, алгоритму та схеми оцінювання [9, 10].</w:t>
      </w:r>
    </w:p>
    <w:p>
      <w:pPr>
        <w:pStyle w:val="Normal"/>
        <w:bidi w:val="0"/>
        <w:spacing w:lineRule="auto" w:line="360" w:before="0" w:after="0"/>
        <w:ind w:firstLine="709"/>
        <w:jc w:val="both"/>
        <w:rPr>
          <w:sz w:val="28"/>
          <w:szCs w:val="28"/>
        </w:rPr>
      </w:pPr>
      <w:r>
        <w:rPr>
          <w:rFonts w:eastAsia="Times New Roman" w:ascii="Times New Roman" w:hAnsi="Times New Roman"/>
          <w:sz w:val="28"/>
          <w:szCs w:val="28"/>
        </w:rPr>
        <w:t>Для TRPA1 уже запропоновано QSAR- і машинно-навчальні підходи до пошуку активних сполук. Зокрема, моделі використовували для прогнозування інгібіторів TRPA1, віртуального перепрофілювання лікарських засобів і класифікації відомих лігандів відносно випадково відібраних decoy-сполук [3, 4]. Ці роботи показали, що структурні ознаки містять корисний сигнал, однак самі по собі високі метрики ще не визначають здатність моделі переносити прогноз на нові хімічні серії.</w:t>
      </w:r>
    </w:p>
    <w:p>
      <w:pPr>
        <w:pStyle w:val="Normal"/>
        <w:bidi w:val="0"/>
        <w:spacing w:lineRule="auto" w:line="360" w:before="0" w:after="0"/>
        <w:ind w:firstLine="709"/>
        <w:jc w:val="both"/>
        <w:rPr>
          <w:sz w:val="28"/>
          <w:szCs w:val="28"/>
        </w:rPr>
      </w:pPr>
      <w:r>
        <w:rPr>
          <w:rFonts w:eastAsia="Times New Roman" w:ascii="Times New Roman" w:hAnsi="Times New Roman"/>
          <w:sz w:val="28"/>
          <w:szCs w:val="28"/>
        </w:rPr>
        <w:t>Оцінка молекулярної моделі істотно залежить від постановки задачі та способу валідації. За випадкового поділу близькі аналоги або сполуки зі спільним каркасом можуть опинитися одночасно в навчальній і тестовій вибірках; у такому разі модель значною мірою інтерполює всередині вже відомих хімічних серій. Поділ за каркасами є суворішою перевіркою узагальнення на структурно нові сполуки [10, 14, 20]. Так само класифікація відомих лігандів проти випадкових, не підібраних за властивостями decoys може бути значно легшою за прогноз кількісної активності й давати оптимістичне уявлення про практичну цінність моделі [14, 15]. Надійність окремого прогнозу також пов’язана з хімічною близькістю тестової молекули до навчального набору, тобто з областю застосовності моделі [19].</w:t>
      </w:r>
    </w:p>
    <w:p>
      <w:pPr>
        <w:pStyle w:val="Normal"/>
        <w:bidi w:val="0"/>
        <w:spacing w:lineRule="auto" w:line="360" w:before="0" w:after="0"/>
        <w:ind w:firstLine="709"/>
        <w:jc w:val="both"/>
        <w:rPr>
          <w:sz w:val="28"/>
          <w:szCs w:val="28"/>
        </w:rPr>
      </w:pPr>
      <w:r>
        <w:rPr>
          <w:rFonts w:eastAsia="Times New Roman" w:ascii="Times New Roman" w:hAnsi="Times New Roman"/>
          <w:sz w:val="28"/>
          <w:szCs w:val="28"/>
        </w:rPr>
        <w:t>Додаткове обмеження виникає через неоднорідність самої цільової змінної. Значення IC50, отримані для однієї сполуки в різних джерелах, можуть відрізнятися, а об’єднання таких вимірювань збільшує шум у навчальних даних [12]. Біологічний контекст assay — клітинна система, спосіб активації, режим експозиції та інші умови протоколу — впливає на зміст вимірюваної активності й має враховуватися під час інтерпретації моделей [13]. Для TRPA1 ця проблема особливо правдоподібна через Ca2+-залежну регуляцію, агоніст-залежну десенситизацію та чутливість скринінгової відповіді до послідовності й тривалості дії речовин [16–18].</w:t>
      </w:r>
    </w:p>
    <w:p>
      <w:pPr>
        <w:pStyle w:val="Normal"/>
        <w:bidi w:val="0"/>
        <w:spacing w:lineRule="auto" w:line="360" w:before="0" w:after="0"/>
        <w:ind w:firstLine="709"/>
        <w:jc w:val="both"/>
        <w:rPr>
          <w:sz w:val="28"/>
          <w:szCs w:val="28"/>
        </w:rPr>
      </w:pPr>
      <w:r>
        <w:rPr>
          <w:rFonts w:ascii="Times New Roman" w:hAnsi="Times New Roman"/>
          <w:sz w:val="28"/>
          <w:szCs w:val="28"/>
        </w:rPr>
        <w:t>Тому після попередніх QSAR- і машинно-навчальних досліджень TRPA1 [3, 4] актуальним залишалося питання, наскільки їхні висновки переносяться на суворішу задачу кількісного прогнозування активності для нових хімічних каркасів. У цій роботі таку оцінку доповнено аналізом зв’язку похибки з розбіжністю опублікованих значень, хімічною віддаленістю сполук і способом поділу даних.</w:t>
      </w:r>
    </w:p>
    <w:p>
      <w:pPr>
        <w:pStyle w:val="Normal"/>
        <w:bidi w:val="0"/>
        <w:spacing w:lineRule="auto" w:line="360" w:before="0" w:after="0"/>
        <w:ind w:firstLine="709"/>
        <w:jc w:val="both"/>
        <w:rPr>
          <w:rFonts w:ascii="Times New Roman" w:hAnsi="Times New Roman"/>
          <w:sz w:val="28"/>
          <w:szCs w:val="28"/>
        </w:rPr>
      </w:pPr>
      <w:r>
        <w:rPr>
          <w:rFonts w:ascii="Times New Roman" w:hAnsi="Times New Roman"/>
          <w:sz w:val="28"/>
          <w:szCs w:val="28"/>
        </w:rPr>
        <w:t>Метою роботи було оцінити точність прогнозування агрегованих за літературними даними значень pIC50 інгібування TRPA1 людини за молекулярною структурою для хімічних каркасів, не представлених під час навчання, та перевірити, чи пов’язана похибка прогнозу з розбіжністю опублікованих значень для тієї самої сполуки.</w:t>
      </w:r>
    </w:p>
    <w:p>
      <w:pPr>
        <w:pStyle w:val="Heading1"/>
        <w:bidi w:val="0"/>
        <w:jc w:val="start"/>
        <w:rPr/>
      </w:pPr>
      <w:r>
        <w:rPr/>
        <w:t>МАТЕРІАЛИ ТА МЕТОДИ</w:t>
      </w:r>
    </w:p>
    <w:p>
      <w:pPr>
        <w:pStyle w:val="BlockText"/>
        <w:bidi w:val="0"/>
        <w:jc w:val="start"/>
        <w:rPr/>
      </w:pPr>
      <w:r>
        <w:rPr/>
        <w:t>Версія для аудиту джерел. Позначки [PROJECT SOURCE: …] вказують на конкретні файли репозиторію, з яких узято методичне твердження. Позначки [SOURCE NEEDED: …] означають, що відповідне твердження не слід залишати у фінальному рукописі без додаткового підтвердження.</w:t>
      </w:r>
    </w:p>
    <w:p>
      <w:pPr>
        <w:pStyle w:val="Heading2"/>
        <w:bidi w:val="0"/>
        <w:jc w:val="start"/>
        <w:rPr/>
      </w:pPr>
      <w:bookmarkStart w:id="0" w:name="дизайн-дослідження"/>
      <w:r>
        <w:rPr/>
        <w:t>Дизайн дослідження</w:t>
      </w:r>
    </w:p>
    <w:p>
      <w:pPr>
        <w:pStyle w:val="FirstParagraph"/>
        <w:bidi w:val="0"/>
        <w:jc w:val="start"/>
        <w:rPr/>
      </w:pPr>
      <w:r>
        <w:rPr/>
        <w:t>Проведено ретроспективне обчислювальне дослідження, у якому за молекулярною структурою прогнозували агреговане значення інгібувальної активності сполук щодо TRPA1 людини. Основною задачею була регресія для сполук із хімічними каркасами, відсутніми в навчальній частині даних. Окремо оцінювали зв’язок похибки прогнозу з розбіжністю опублікованих значень, хімічною віддаленістю тестової сполуки від навчальної вибірки та способом поділу даних.</w:t>
      </w:r>
    </w:p>
    <w:p>
      <w:pPr>
        <w:pStyle w:val="BodyText"/>
        <w:bidi w:val="0"/>
        <w:jc w:val="start"/>
        <w:rPr/>
      </w:pPr>
      <w:r>
        <w:rPr/>
        <w:t>[PROJECT SOURCE: STATUS.md; docs/paper_plan.md; results/tables/grid_final_metadata_20260801-152155.json; scripts/analyze_h1_h5.py]</w:t>
      </w:r>
      <w:bookmarkEnd w:id="0"/>
    </w:p>
    <w:p>
      <w:pPr>
        <w:pStyle w:val="Heading2"/>
        <w:bidi w:val="0"/>
        <w:jc w:val="start"/>
        <w:rPr/>
      </w:pPr>
      <w:bookmarkStart w:id="1" w:name="джерело-даних-і-критерії-відбору"/>
      <w:r>
        <w:rPr/>
        <w:t>Джерело даних і критерії відбору</w:t>
      </w:r>
    </w:p>
    <w:p>
      <w:pPr>
        <w:pStyle w:val="FirstParagraph"/>
        <w:bidi w:val="0"/>
        <w:jc w:val="start"/>
        <w:rPr/>
      </w:pPr>
      <w:r>
        <w:rPr/>
        <w:t xml:space="preserve">Дані отримано з бази ChEMBL версії 37, дата релізу якої у метаданих проєкту зафіксована як 1 травня 2026 року. Відбирали записи для мішені CHEMBL6007 (TRPA1 людини) з типом показника IC50, точною рівністю </w:t>
      </w:r>
      <w:r>
        <w:rPr>
          <w:rStyle w:val="VerbatimChar"/>
        </w:rPr>
        <w:t>standard_relation = "="</w:t>
      </w:r>
      <w:r>
        <w:rPr/>
        <w:t xml:space="preserve"> та наявним значенням pChEMBL. Заморожена таблиця рівня окремих вимірювань містила 2196 записів; усі збережені стандартизовані значення IC50 були подані в нмоль/л. Документи, з яких походили записи, охоплювали 2010–2025 роки.</w:t>
      </w:r>
    </w:p>
    <w:p>
      <w:pPr>
        <w:pStyle w:val="BodyText"/>
        <w:bidi w:val="0"/>
        <w:jc w:val="start"/>
        <w:rPr/>
      </w:pPr>
      <w:r>
        <w:rPr/>
        <w:t>[PROJECT SOURCE: data/raw/trpa1_current_api_metadata.json; data/raw/trpa1_current_api_raw.csv] [SOURCE NEEDED: первинна публікація або офіційний опис ChEMBL і визначення поля pChEMBL]</w:t>
      </w:r>
    </w:p>
    <w:p>
      <w:pPr>
        <w:pStyle w:val="BodyText"/>
        <w:bidi w:val="0"/>
        <w:jc w:val="start"/>
        <w:rPr/>
      </w:pPr>
      <w:r>
        <w:rPr/>
        <w:t>Перехід від 2196 записів до 1645 сполук був агрегацією, а не вилученням біологічних тестів. Після стандартизації структури записи з однаковим InChIKey об’єднували в один molecule-level рядок, а цільову змінну визначали як медіану збережених pChEMBL. Отримана таблиця містила 1645 унікальних сполук, що походили з 97 assays і 55 документів ChEMBL. Для кожної сполуки збережено стандартизований SMILES, InChIKey, медіану, мінімум, максимум і стандартне відхилення pChEMBL, число вимірювань та хімічний каркас Bemis–Murcko. У наборі було 544 унікальні хімічні каркаси.</w:t>
      </w:r>
    </w:p>
    <w:p>
      <w:pPr>
        <w:pStyle w:val="BodyText"/>
        <w:bidi w:val="0"/>
        <w:jc w:val="start"/>
        <w:rPr/>
      </w:pPr>
      <w:r>
        <w:rPr/>
        <w:t>[PROJECT SOURCE: data/raw/trpa1_current_api_raw.csv; data/processed/trpa1_primary_dataset.csv; data/assays/assay_table.csv; sources/source_registry.csv; results/tables/grid_final_metadata_20260801-152155.json] [SOURCE NEEDED: оригінальне джерело для визначення каркасів Bemis–Murcko]</w:t>
      </w:r>
    </w:p>
    <w:p>
      <w:pPr>
        <w:pStyle w:val="Heading3"/>
        <w:bidi w:val="0"/>
        <w:jc w:val="start"/>
        <w:rPr/>
      </w:pPr>
      <w:bookmarkStart w:id="2" w:name="пізніший-аудит-походження-assay-записів"/>
      <w:r>
        <w:rPr/>
        <w:t>Пізніший аудит походження assay-записів</w:t>
      </w:r>
    </w:p>
    <w:p>
      <w:pPr>
        <w:pStyle w:val="FirstParagraph"/>
        <w:bidi w:val="0"/>
        <w:jc w:val="start"/>
        <w:rPr/>
      </w:pPr>
      <w:r>
        <w:rPr/>
        <w:t xml:space="preserve">Після завершення основного benchmark усі 97 assays окремо переглянули й класифікували як </w:t>
      </w:r>
      <w:r>
        <w:rPr>
          <w:rStyle w:val="VerbatimChar"/>
        </w:rPr>
        <w:t>primary</w:t>
      </w:r>
      <w:r>
        <w:rPr/>
        <w:t xml:space="preserve"> (76 assays), </w:t>
      </w:r>
      <w:r>
        <w:rPr>
          <w:rStyle w:val="VerbatimChar"/>
        </w:rPr>
        <w:t>sensitivity</w:t>
      </w:r>
      <w:r>
        <w:rPr/>
        <w:t xml:space="preserve"> (9 assays) або </w:t>
      </w:r>
      <w:r>
        <w:rPr>
          <w:rStyle w:val="VerbatimChar"/>
        </w:rPr>
        <w:t>excluded</w:t>
      </w:r>
      <w:r>
        <w:rPr/>
        <w:t xml:space="preserve"> (12 assays). При зіставленні цієї класифікації з 2196 записами початкового benchmark 1953 записи належали до </w:t>
      </w:r>
      <w:r>
        <w:rPr>
          <w:rStyle w:val="VerbatimChar"/>
        </w:rPr>
        <w:t>primary</w:t>
      </w:r>
      <w:r>
        <w:rPr/>
        <w:t xml:space="preserve">, 216 — до </w:t>
      </w:r>
      <w:r>
        <w:rPr>
          <w:rStyle w:val="VerbatimChar"/>
        </w:rPr>
        <w:t>sensitivity</w:t>
      </w:r>
      <w:r>
        <w:rPr/>
        <w:t xml:space="preserve">, а 27 записів походили з 12 assays, пізніше позначених як </w:t>
      </w:r>
      <w:r>
        <w:rPr>
          <w:rStyle w:val="VerbatimChar"/>
        </w:rPr>
        <w:t>excluded</w:t>
      </w:r>
      <w:r>
        <w:rPr/>
        <w:t xml:space="preserve">. Ці 27 записів стосувалися 22 сполук; для 8 сполук вони були єдиним джерелом активності, тоді як для 14 сполук у наборі також існували записи з </w:t>
      </w:r>
      <w:r>
        <w:rPr>
          <w:rStyle w:val="VerbatimChar"/>
        </w:rPr>
        <w:t>primary</w:t>
      </w:r>
      <w:r>
        <w:rPr/>
        <w:t xml:space="preserve"> або </w:t>
      </w:r>
      <w:r>
        <w:rPr>
          <w:rStyle w:val="VerbatimChar"/>
        </w:rPr>
        <w:t>sensitivity</w:t>
      </w:r>
      <w:r>
        <w:rPr/>
        <w:t xml:space="preserve"> assays.</w:t>
      </w:r>
    </w:p>
    <w:p>
      <w:pPr>
        <w:pStyle w:val="BodyText"/>
        <w:bidi w:val="0"/>
        <w:jc w:val="start"/>
        <w:rPr/>
      </w:pPr>
      <w:r>
        <w:rPr/>
        <w:t>[PROJECT SOURCE: data/raw/trpa1_current_api_raw.csv; data/assays/assay_table.csv; results/tables/FINAL_benchmark_assay_role_summary.csv; results/tables/FINAL_assay_role_record_audit.csv]</w:t>
      </w:r>
    </w:p>
    <w:p>
      <w:pPr>
        <w:pStyle w:val="BodyText"/>
        <w:bidi w:val="0"/>
        <w:jc w:val="start"/>
        <w:rPr/>
      </w:pPr>
      <w:r>
        <w:rPr/>
        <w:t>Оскільки цей аудит було виконано після формування molecule-level набору й завершення основної сітки моделей, результати benchmark та аналізів H1–H5 відображають повний набір 2196 записів / 1645 сполук і не були ретроспективно перераховані після виключення зазначених 27 записів. Аудит використовували для кількісної оцінки обмежень набору, але не як критерій включення до вже виконаного benchmark.</w:t>
      </w:r>
    </w:p>
    <w:p>
      <w:pPr>
        <w:pStyle w:val="BodyText"/>
        <w:bidi w:val="0"/>
        <w:jc w:val="start"/>
        <w:rPr/>
      </w:pPr>
      <w:r>
        <w:rPr/>
        <w:t>[PROJECT SOURCE: data/processed/trpa1_primary_dataset.csv; results/tables/grid_final_metadata_20260801-152155.json; data/assays/assay_table.csv; STATUS.md]</w:t>
      </w:r>
      <w:bookmarkEnd w:id="1"/>
      <w:bookmarkEnd w:id="2"/>
    </w:p>
    <w:p>
      <w:pPr>
        <w:pStyle w:val="Heading2"/>
        <w:bidi w:val="0"/>
        <w:jc w:val="start"/>
        <w:rPr/>
      </w:pPr>
      <w:bookmarkStart w:id="3" w:name="X8f2cdcad76153ebb976dbd9a811ce545b2127d2"/>
      <w:r>
        <w:rPr/>
        <w:t>Стандартизація структур і формування цільової змінної</w:t>
      </w:r>
    </w:p>
    <w:p>
      <w:pPr>
        <w:pStyle w:val="FirstParagraph"/>
        <w:bidi w:val="0"/>
        <w:jc w:val="start"/>
        <w:rPr/>
      </w:pPr>
      <w:r>
        <w:rPr/>
        <w:t>Одиницею аналізу була стандартизована молекулярна структура, ідентифікована за InChIKey. Для кожної структури цільову змінну визначали як медіану всіх збережених значень pChEMBL для IC50. Оскільки всі включені записи мали тип показника IC50, у рукописі це агреговане значення далі позначається як pIC50. Такий показник характеризує медіану літературних вимірювань однієї сполуки, а не її активність у єдиному стандартизованому протоколі.</w:t>
      </w:r>
    </w:p>
    <w:p>
      <w:pPr>
        <w:pStyle w:val="BodyText"/>
        <w:bidi w:val="0"/>
        <w:jc w:val="start"/>
        <w:rPr/>
      </w:pPr>
      <w:r>
        <w:rPr/>
        <w:t>[PROJECT SOURCE: data/raw/trpa1_current_api_raw.csv; data/processed/trpa1_primary_dataset.csv] [SOURCE NEEDED: офіційне джерело ChEMBL, яке підтверджує трактування pChEMBL для точних IC50 як pIC50]</w:t>
      </w:r>
    </w:p>
    <w:p>
      <w:pPr>
        <w:pStyle w:val="BodyText"/>
        <w:bidi w:val="0"/>
        <w:jc w:val="start"/>
        <w:rPr/>
      </w:pPr>
      <w:r>
        <w:rPr/>
        <w:t>Наявна проєктна документація описує парсинг структур засобами RDKit, видалення солей або вибір основного фрагмента, побудову канонічного ізомеричного SMILES та InChIKey, після чого записи об’єднували за стандартизованою структурою. Водночас у поточній версії репозиторію немає одного канонічного скрипту, який повністю відтворює перехід від таблиці окремих вимірювань до trpa1_primary_dataset.csv.</w:t>
      </w:r>
    </w:p>
    <w:p>
      <w:pPr>
        <w:pStyle w:val="BodyText"/>
        <w:bidi w:val="0"/>
        <w:jc w:val="start"/>
        <w:rPr/>
      </w:pPr>
      <w:r>
        <w:rPr/>
        <w:t>[PROJECT SOURCE: docs/methods_fact_sheet.md; data/processed/trpa1_primary_dataset.csv] [SOURCE NEEDED: знайти або відновити точний build-script і підтвердити послідовність видалення солей, вибору фрагмента та генерації InChIKey перед поданням статті] [SOURCE NEEDED: офіційна цитата RDKit]</w:t>
      </w:r>
      <w:bookmarkEnd w:id="3"/>
    </w:p>
    <w:p>
      <w:pPr>
        <w:pStyle w:val="Heading2"/>
        <w:bidi w:val="0"/>
        <w:jc w:val="start"/>
        <w:rPr/>
      </w:pPr>
      <w:bookmarkStart w:id="4" w:name="молекулярні-представлення"/>
      <w:r>
        <w:rPr/>
        <w:t>Молекулярні представлення</w:t>
      </w:r>
    </w:p>
    <w:p>
      <w:pPr>
        <w:pStyle w:val="FirstParagraph"/>
        <w:bidi w:val="0"/>
        <w:jc w:val="start"/>
        <w:rPr/>
      </w:pPr>
      <w:r>
        <w:rPr/>
        <w:t>Для кожної сполуки використовували чотири способи числового опису молекулярної структури. Першим був бітовий відбиток Morgan ECFP4, сформований у RDKit із радіусом 2 та довжиною 2048 біт без урахування хіральності.</w:t>
      </w:r>
    </w:p>
    <w:p>
      <w:pPr>
        <w:pStyle w:val="BodyText"/>
        <w:bidi w:val="0"/>
        <w:jc w:val="start"/>
        <w:rPr/>
      </w:pPr>
      <w:r>
        <w:rPr/>
        <w:t>[PROJECT SOURCE: scripts/Grid_Benchmark.py; results/tables/grid_final_metadata_20260801-152155.json] [SOURCE NEEDED: первинна методична публікація для Morgan/ECFP і офіційна цитата RDKit]</w:t>
      </w:r>
    </w:p>
    <w:p>
      <w:pPr>
        <w:pStyle w:val="BodyText"/>
        <w:bidi w:val="0"/>
        <w:jc w:val="start"/>
        <w:rPr/>
      </w:pPr>
      <w:r>
        <w:rPr/>
        <w:t>Другим представленням був набір із 15 фізико-хімічних дескрипторів RDKit: молекулярна маса, logP, молярна рефракція, площа полярної поверхні, кількість акцепторів і донорів водневого зв’язку, кількість обертових зв’язків, ароматичних, аліфатичних і насичених кілець, загальна кількість кілець, частка sp3-гібридизованих атомів вуглецю, кількість важких атомів, гетероатомів і LabuteASA.</w:t>
      </w:r>
    </w:p>
    <w:p>
      <w:pPr>
        <w:pStyle w:val="BodyText"/>
        <w:bidi w:val="0"/>
        <w:jc w:val="start"/>
        <w:rPr/>
      </w:pPr>
      <w:r>
        <w:rPr/>
        <w:t>[PROJECT SOURCE: scripts/Grid_Benchmark.py; scripts/chemberta_benchmark.py] [SOURCE NEEDED: офіційна цитата RDKit і, за потреби, першоджерела окремих дескрипторів]</w:t>
      </w:r>
    </w:p>
    <w:p>
      <w:pPr>
        <w:pStyle w:val="BodyText"/>
        <w:bidi w:val="0"/>
        <w:jc w:val="start"/>
        <w:rPr/>
      </w:pPr>
      <w:r>
        <w:rPr/>
        <w:t>Третім представленням були 384-вимірні вектори ChemBERTa-CLS, отримані замороженою попередньо навченою моделлю DeepChem/ChemBERTa-77M-MTR із першого токена послідовності; для токенізації SMILES застосовували обрізання до максимальної довжини 128 токенів. Параметри цієї моделі не донавчали на наборі TRPA1 у межах основної сітки порівняння.</w:t>
      </w:r>
    </w:p>
    <w:p>
      <w:pPr>
        <w:pStyle w:val="BodyText"/>
        <w:bidi w:val="0"/>
        <w:jc w:val="start"/>
        <w:rPr/>
      </w:pPr>
      <w:r>
        <w:rPr/>
        <w:t>[PROJECT SOURCE: scripts/GroupKFold_CV.ipynb; scripts/chemberta_benchmark.py; scripts/Grid_Benchmark.py; results/tables/grid_final_metadata_20260801-152155.json] [SOURCE NEEDED: перевірена первинна публікація для використаної версії ChemBERTa]</w:t>
      </w:r>
    </w:p>
    <w:p>
      <w:pPr>
        <w:pStyle w:val="BodyText"/>
        <w:bidi w:val="0"/>
        <w:jc w:val="start"/>
        <w:rPr/>
      </w:pPr>
      <w:r>
        <w:rPr/>
        <w:t xml:space="preserve">Четвертим представленням були 768-вимірні вектори MolFormer-Mean, сформовані усередненням прихованих представлень попередньо навченої моделі </w:t>
      </w:r>
      <w:r>
        <w:rPr>
          <w:rStyle w:val="VerbatimChar"/>
        </w:rPr>
        <w:t>ibm/MoLFormer-XL-both-10pct</w:t>
      </w:r>
      <w:r>
        <w:rPr/>
        <w:t xml:space="preserve">, revision </w:t>
      </w:r>
      <w:r>
        <w:rPr>
          <w:rStyle w:val="VerbatimChar"/>
        </w:rPr>
        <w:t>7b12d946c181a37f6012b9dc3b002275de070314</w:t>
      </w:r>
      <w:r>
        <w:rPr/>
        <w:t xml:space="preserve">, у середовищі </w:t>
      </w:r>
      <w:r>
        <w:rPr>
          <w:rStyle w:val="VerbatimChar"/>
        </w:rPr>
        <w:t>transformers = 4.44.2</w:t>
      </w:r>
      <w:r>
        <w:rPr/>
        <w:t>; для токенізації SMILES застосовували максимальну довжину 202 токени. Параметри моделі не донавчали на наборі TRPA1 у межах основної сітки порівняння.</w:t>
      </w:r>
    </w:p>
    <w:p>
      <w:pPr>
        <w:pStyle w:val="BodyText"/>
        <w:bidi w:val="0"/>
        <w:jc w:val="start"/>
        <w:rPr/>
      </w:pPr>
      <w:r>
        <w:rPr/>
        <w:t>[PROJECT SOURCE: scripts/GroupKFold_CV.ipynb; results/tables/grid_final_metadata_20260801-152155.json; docs/methods_fact_sheet.md] [SOURCE NEEDED: перевірена первинна публікація MolFormer]</w:t>
      </w:r>
    </w:p>
    <w:p>
      <w:pPr>
        <w:pStyle w:val="BodyText"/>
        <w:bidi w:val="0"/>
        <w:jc w:val="start"/>
        <w:rPr/>
      </w:pPr>
      <w:r>
        <w:rPr/>
        <w:t>Для додаткових аналізів розбіжності значень, хімічної віддаленості та способу поділу даних використовували Morgan fingerprints у поєднанні з Random Forest і XGBoost. Morgan обрали як спільне представлення для обох алгоритмів, оскільки його scaffold-CV якість була близькою до найкращих комбінацій повної сітки, а аналіз хімічної віддаленості безпосередньо ґрунтувався на Tanimoto similarity між Morgan fingerprints.</w:t>
      </w:r>
    </w:p>
    <w:p>
      <w:pPr>
        <w:pStyle w:val="BodyText"/>
        <w:bidi w:val="0"/>
        <w:jc w:val="start"/>
        <w:rPr/>
      </w:pPr>
      <w:r>
        <w:rPr/>
        <w:t>[PROJECT SOURCE: results/tables/grid_final_results_20260801-152155.csv; results/tables/FINAL_H1_scaffold_performance.csv; scripts/analyze_h1_h5.py]</w:t>
      </w:r>
      <w:bookmarkEnd w:id="4"/>
    </w:p>
    <w:p>
      <w:pPr>
        <w:pStyle w:val="Heading2"/>
        <w:bidi w:val="0"/>
        <w:jc w:val="start"/>
        <w:rPr/>
      </w:pPr>
      <w:bookmarkStart w:id="5" w:name="регресійні-алгоритми"/>
      <w:r>
        <w:rPr/>
        <w:t>Регресійні алгоритми</w:t>
      </w:r>
    </w:p>
    <w:p>
      <w:pPr>
        <w:pStyle w:val="FirstParagraph"/>
        <w:bidi w:val="0"/>
        <w:jc w:val="start"/>
        <w:rPr/>
      </w:pPr>
      <w:r>
        <w:rPr/>
        <w:t>Кожне з чотирьох молекулярних представлень подавали двом регресійним алгоритмам на однакових розбиттях даних: випадковому лісу (Random Forest) та XGBoost. Для RandomForestRegressor використовували 500 дерев, random_state = 42 і n_jobs = −1; решту параметрів залишали за замовчуванням бібліотеки scikit-learn, а їх точні значення збережено в метаданих запуску.</w:t>
      </w:r>
    </w:p>
    <w:p>
      <w:pPr>
        <w:pStyle w:val="BodyText"/>
        <w:bidi w:val="0"/>
        <w:jc w:val="start"/>
        <w:rPr/>
      </w:pPr>
      <w:r>
        <w:rPr/>
        <w:t>[PROJECT SOURCE: scripts/Grid_Benchmark.py; results/tables/grid_final_metadata_20260801-152155.json] [SOURCE NEEDED: первинна публікація Random Forest; офіційна цитата scikit-learn]</w:t>
      </w:r>
    </w:p>
    <w:p>
      <w:pPr>
        <w:pStyle w:val="BodyText"/>
        <w:bidi w:val="0"/>
        <w:jc w:val="start"/>
        <w:rPr/>
      </w:pPr>
      <w:r>
        <w:rPr/>
        <w:t>Для XGBRegressor використовували 500 дерев, максимальну глибину 6, швидкість навчання 0,05, цільову функцію reg:squarederror, метрику rmse, алгоритм побудови дерев hist, random_state = 42 і n_jobs = −1.</w:t>
      </w:r>
    </w:p>
    <w:p>
      <w:pPr>
        <w:pStyle w:val="BodyText"/>
        <w:bidi w:val="0"/>
        <w:jc w:val="start"/>
        <w:rPr/>
      </w:pPr>
      <w:r>
        <w:rPr/>
        <w:t>[PROJECT SOURCE: scripts/Grid_Benchmark.py; results/tables/grid_final_metadata_20260801-152155.json] [SOURCE NEEDED: первинна публікація XGBoost]</w:t>
      </w:r>
    </w:p>
    <w:p>
      <w:pPr>
        <w:pStyle w:val="BodyText"/>
        <w:bidi w:val="0"/>
        <w:jc w:val="start"/>
        <w:rPr/>
      </w:pPr>
      <w:r>
        <w:rPr/>
        <w:t>Для контролю результатів також застосовували базову модель, яка в кожному навчальному фолді передбачала середнє значення цільової змінної.</w:t>
      </w:r>
    </w:p>
    <w:p>
      <w:pPr>
        <w:pStyle w:val="BodyText"/>
        <w:bidi w:val="0"/>
        <w:jc w:val="start"/>
        <w:rPr/>
      </w:pPr>
      <w:r>
        <w:rPr/>
        <w:t>[PROJECT SOURCE: scripts/Grid_Benchmark.py; results/tables/grid_final_results_20260801-152155.csv]</w:t>
      </w:r>
      <w:bookmarkEnd w:id="5"/>
    </w:p>
    <w:p>
      <w:pPr>
        <w:pStyle w:val="Heading2"/>
        <w:bidi w:val="0"/>
        <w:jc w:val="start"/>
        <w:rPr/>
      </w:pPr>
      <w:bookmarkStart w:id="6" w:name="поділ-даних-і-основна-оцінка-моделей"/>
      <w:r>
        <w:rPr/>
        <w:t>Поділ даних і основна оцінка моделей</w:t>
      </w:r>
    </w:p>
    <w:p>
      <w:pPr>
        <w:pStyle w:val="FirstParagraph"/>
        <w:bidi w:val="0"/>
        <w:jc w:val="start"/>
        <w:rPr/>
      </w:pPr>
      <w:r>
        <w:rPr/>
        <w:t>Основну оцінку проводили методом п’ятикратної перехресної перевірки з групуванням за хімічними каркасами Bemis–Murcko. Сполуки з однаковим каркасом завжди належали до одного фолду, тому каркас тестової сполуки не був представлений у навчальній частині відповідного фолду.</w:t>
      </w:r>
    </w:p>
    <w:p>
      <w:pPr>
        <w:pStyle w:val="BodyText"/>
        <w:bidi w:val="0"/>
        <w:jc w:val="start"/>
        <w:rPr/>
      </w:pPr>
      <w:r>
        <w:rPr/>
        <w:t>[PROJECT SOURCE: scripts/Grid_Benchmark.py; results/tables/grid_final_fold_assignments_20260801-152155.csv; results/tables/grid_final_metadata_20260801-152155.json] [SOURCE NEEDED: первинна публікація Bemis–Murcko; методичне джерело щодо використання scaffold split для оцінки хімічної екстраполяції]</w:t>
      </w:r>
    </w:p>
    <w:p>
      <w:pPr>
        <w:pStyle w:val="BodyText"/>
        <w:bidi w:val="0"/>
        <w:jc w:val="start"/>
        <w:rPr/>
      </w:pPr>
      <w:r>
        <w:rPr/>
        <w:t>Використовували три варіанти розподілу каркасів між п’ятьма фолдами. Перший варіант формували детермінованим GroupKFold. Для другого і третього варіантів каркаси незалежно перерозподіляли з початковими значеннями генератора 1001 і 1002, балансуючи кількість сполук у фолдах. Ті самі призначення фолдів застосовували до всіх восьми комбінацій «молекулярне представлення × алгоритм».</w:t>
      </w:r>
    </w:p>
    <w:p>
      <w:pPr>
        <w:pStyle w:val="BodyText"/>
        <w:bidi w:val="0"/>
        <w:jc w:val="start"/>
        <w:rPr/>
      </w:pPr>
      <w:r>
        <w:rPr/>
        <w:t>[PROJECT SOURCE: scripts/Grid_Benchmark.py; results/tables/grid_final_fold_assignments_20260801-152155.csv; results/tables/grid_final_metadata_20260801-152155.json]</w:t>
      </w:r>
    </w:p>
    <w:p>
      <w:pPr>
        <w:pStyle w:val="BodyText"/>
        <w:bidi w:val="0"/>
        <w:jc w:val="start"/>
        <w:rPr/>
      </w:pPr>
      <w:r>
        <w:rPr/>
        <w:t>Для кожної сполуки в кожному з трьох варіантів розподілу зберігали прогноз, отриманий моделлю, яка не навчалася на цій сполуці та її каркасі (out-of-fold, OOF). У кожному варіанті розподілу метрики обчислювали на сукупності всіх OOF-прогнозів, після чого подавали середнє та стандартне відхилення між трьома варіантами.</w:t>
      </w:r>
    </w:p>
    <w:p>
      <w:pPr>
        <w:pStyle w:val="BodyText"/>
        <w:bidi w:val="0"/>
        <w:jc w:val="start"/>
        <w:rPr/>
      </w:pPr>
      <w:r>
        <w:rPr/>
        <w:t>[PROJECT SOURCE: scripts/Grid_Benchmark.py; results/tables/grid_final_oof_20260801-152155.csv; results/tables/grid_final_results_20260801-152155.csv]</w:t>
      </w:r>
    </w:p>
    <w:p>
      <w:pPr>
        <w:pStyle w:val="BodyText"/>
        <w:bidi w:val="0"/>
        <w:jc w:val="start"/>
        <w:rPr/>
      </w:pPr>
      <w:r>
        <w:rPr/>
        <w:t>Основними показниками якості були середньоквадратична похибка (RMSE), коефіцієнт детермінації R² та ранговий коефіцієнт кореляції Спірмена. Середню абсолютну похибку (MAE) додатково використовували у порівнянні випадкового поділу з поділом за каркасами.</w:t>
      </w:r>
    </w:p>
    <w:p>
      <w:pPr>
        <w:pStyle w:val="BodyText"/>
        <w:bidi w:val="0"/>
        <w:jc w:val="start"/>
        <w:rPr/>
      </w:pPr>
      <w:r>
        <w:rPr/>
        <w:t>[PROJECT SOURCE: scripts/Grid_Benchmark.py; scripts/analyze_h1_h5.py; results/tables/grid_final_results_20260801-152155.csv; results/tables/FINAL_H5_random_vs_scaffold.csv] [SOURCE NEEDED: за вимогами журналу визначити, чи потрібні окремі стандартні статистичні посилання для RMSE, R², MAE та кореляції Спірмена]</w:t>
      </w:r>
      <w:bookmarkEnd w:id="6"/>
    </w:p>
    <w:p>
      <w:pPr>
        <w:pStyle w:val="Heading2"/>
        <w:bidi w:val="0"/>
        <w:jc w:val="start"/>
        <w:rPr/>
      </w:pPr>
      <w:bookmarkStart w:id="7" w:name="аналіз-розбіжності-опублікованих-значень"/>
      <w:r>
        <w:rPr/>
        <w:t>Аналіз розбіжності опублікованих значень</w:t>
      </w:r>
    </w:p>
    <w:p>
      <w:pPr>
        <w:pStyle w:val="FirstParagraph"/>
        <w:bidi w:val="0"/>
        <w:jc w:val="start"/>
        <w:rPr/>
      </w:pPr>
      <w:r>
        <w:rPr/>
        <w:t>Щоб технічні дублікати одного тесту не вважали незалежними вимірюваннями, записи спочатку об’єднували медіаною всередині кожної пари «сполука × assay». Розбіжність між тестами оцінювали лише для 393 сполук, представлених щонайменше у двох різних assays.</w:t>
      </w:r>
    </w:p>
    <w:p>
      <w:pPr>
        <w:pStyle w:val="BodyText"/>
        <w:bidi w:val="0"/>
        <w:jc w:val="start"/>
        <w:rPr/>
      </w:pPr>
      <w:r>
        <w:rPr/>
        <w:t>[PROJECT SOURCE: scripts/analyze_h1_h5.py; results/tables/FINAL_H2_variability_vs_error.csv; results/tables/FINAL_H1_H5_METADATA.json]</w:t>
      </w:r>
    </w:p>
    <w:p>
      <w:pPr>
        <w:pStyle w:val="BodyText"/>
        <w:bidi w:val="0"/>
        <w:jc w:val="start"/>
        <w:rPr/>
      </w:pPr>
      <w:r>
        <w:rPr/>
        <w:t>У суворішому міждокументному аналізі записи спочатку об’єднували медіаною всередині кожної пари «сполука × документ», після чого розбіжність оцінювали для 52 сполук, наявних щонайменше у двох різних документах.</w:t>
      </w:r>
    </w:p>
    <w:p>
      <w:pPr>
        <w:pStyle w:val="BodyText"/>
        <w:bidi w:val="0"/>
        <w:jc w:val="start"/>
        <w:rPr/>
      </w:pPr>
      <w:r>
        <w:rPr/>
        <w:t>[PROJECT SOURCE: scripts/analyze_h1_h5.py; results/tables/FINAL_H2_variability_vs_error.csv; results/tables/FINAL_H1_H5_METADATA.json]</w:t>
      </w:r>
    </w:p>
    <w:p>
      <w:pPr>
        <w:pStyle w:val="BodyText"/>
        <w:bidi w:val="0"/>
        <w:jc w:val="start"/>
        <w:rPr/>
      </w:pPr>
      <w:r>
        <w:rPr/>
        <w:t>Основним показником розбіжності був розмах pIC50 між агрегованими значеннями. Як додаткові показники обчислювали вибіркове стандартне відхилення, медіанне абсолютне відхилення та медіану всіх попарних абсолютних різниць. Для кожної моделі абсолютну OOF-похибку сполуки усереднювали між трьома варіантами scaffold-розподілу, після чого перевіряли її монотонний зв’язок із показниками розбіжності за коефіцієнтом Спірмена.</w:t>
      </w:r>
    </w:p>
    <w:p>
      <w:pPr>
        <w:pStyle w:val="BodyText"/>
        <w:bidi w:val="0"/>
        <w:jc w:val="start"/>
        <w:rPr/>
      </w:pPr>
      <w:r>
        <w:rPr/>
        <w:t>[PROJECT SOURCE: scripts/analyze_h1_h5.py; results/tables/FINAL_H2_variability_vs_error.csv]</w:t>
      </w:r>
    </w:p>
    <w:p>
      <w:pPr>
        <w:pStyle w:val="BodyText"/>
        <w:bidi w:val="0"/>
        <w:jc w:val="start"/>
        <w:rPr/>
      </w:pPr>
      <w:r>
        <w:rPr/>
        <w:t>Для кожного з чотирьох показників розбіжності 95% довірчі інтервали коефіцієнта Спірмена оцінювали кластерним bootstrap із повторним вибором цілих хімічних каркасів, 1500 ітерацій. Додатково обчислювали часткову рангову кореляцію з контролем медіанного pIC50 та кількості assays або документів.</w:t>
      </w:r>
    </w:p>
    <w:p>
      <w:pPr>
        <w:pStyle w:val="BodyText"/>
        <w:bidi w:val="0"/>
        <w:jc w:val="start"/>
        <w:rPr/>
      </w:pPr>
      <w:r>
        <w:rPr/>
        <w:t>[PROJECT SOURCE: scripts/analyze_h1_h5.py; results/tables/FINAL_H2_variability_vs_error.csv; results/tables/FINAL_H1_H5_METADATA.json]</w:t>
      </w:r>
    </w:p>
    <w:p>
      <w:pPr>
        <w:pStyle w:val="BodyText"/>
        <w:bidi w:val="0"/>
        <w:jc w:val="start"/>
        <w:rPr/>
      </w:pPr>
      <w:r>
        <w:rPr/>
        <w:t>Оскільки для кожної моделі в кожній підвибірці одночасно перевіряли чотири показники розбіжності, їхні p-значення коригували методом Холма окремо в межах кожної комбінації «модель × рівень агрегації» (</w:t>
      </w:r>
      <w:r>
        <w:rPr>
          <w:rStyle w:val="VerbatimChar"/>
        </w:rPr>
        <w:t>different_assays</w:t>
      </w:r>
      <w:r>
        <w:rPr/>
        <w:t xml:space="preserve"> або </w:t>
      </w:r>
      <w:r>
        <w:rPr>
          <w:rStyle w:val="VerbatimChar"/>
        </w:rPr>
        <w:t>different_documents</w:t>
      </w:r>
      <w:r>
        <w:rPr/>
        <w:t>). Корекція змінювала оцінку статистичної значущості, але не значення коефіцієнта ρ.</w:t>
      </w:r>
    </w:p>
    <w:p>
      <w:pPr>
        <w:pStyle w:val="BodyText"/>
        <w:bidi w:val="0"/>
        <w:jc w:val="start"/>
        <w:rPr/>
      </w:pPr>
      <w:r>
        <w:rPr/>
        <w:t>[PROJECT SOURCE: scripts/analyze_h1_h5.py; results/tables/FINAL_H2_variability_vs_error.csv] [SOURCE NEEDED: первинне або методичне джерело для поправки Холма]</w:t>
      </w:r>
      <w:bookmarkEnd w:id="7"/>
    </w:p>
    <w:p>
      <w:pPr>
        <w:pStyle w:val="Heading2"/>
        <w:bidi w:val="0"/>
        <w:jc w:val="start"/>
        <w:rPr/>
      </w:pPr>
      <w:bookmarkStart w:id="8" w:name="X4f53d15766bbf1a8f18085fc9576b81366ad0dc"/>
      <w:r>
        <w:rPr/>
        <w:t>Допоміжне порівняння з класифікаційною постановкою</w:t>
      </w:r>
    </w:p>
    <w:p>
      <w:pPr>
        <w:pStyle w:val="FirstParagraph"/>
        <w:bidi w:val="0"/>
        <w:jc w:val="start"/>
        <w:rPr/>
      </w:pPr>
      <w:r>
        <w:rPr/>
        <w:t>Для оцінки впливу постановки задачі окремо відтворювали класифікаційний підхід «відомий антагоніст TRPA1 проти випадково відібраної decoy-сполуки». У цьому аналізі використовували 2048-бітні Morgan ECFP4, випадковий стратифікований поділ 80/20 з random_state = 34 та десятикратну стратифіковану перехресну перевірку для ROC AUC.</w:t>
      </w:r>
    </w:p>
    <w:p>
      <w:pPr>
        <w:pStyle w:val="BodyText"/>
        <w:bidi w:val="0"/>
        <w:jc w:val="start"/>
        <w:rPr/>
      </w:pPr>
      <w:r>
        <w:rPr/>
        <w:t>[PROJECT SOURCE: scripts/MihaiExperimentReplication.py; results/tables/FINAL_H3_mihai_replication_summary.csv] [SOURCE NEEDED: повний перевірений бібліографічний запис Mihai et al., DOI 10.3390/ai1020018]</w:t>
      </w:r>
    </w:p>
    <w:p>
      <w:pPr>
        <w:pStyle w:val="BodyText"/>
        <w:bidi w:val="0"/>
        <w:jc w:val="start"/>
        <w:rPr/>
      </w:pPr>
      <w:r>
        <w:rPr/>
        <w:t>Порівнювали випадковий ліс, метод опорних векторів із радіально-базисним ядром та повнозв’язну нейронну мережу. Цей аналіз відтворював загальну постановку попередньої роботи, але використовував Morgan fingerprints замість її початкового способу молекулярного опису, тому його розглядали як допоміжне порівняння складності задач, а не як дослівне відтворення всіх методичних деталей.</w:t>
      </w:r>
    </w:p>
    <w:p>
      <w:pPr>
        <w:pStyle w:val="BodyText"/>
        <w:bidi w:val="0"/>
        <w:jc w:val="start"/>
        <w:rPr/>
      </w:pPr>
      <w:r>
        <w:rPr/>
        <w:t>[PROJECT SOURCE: scripts/MihaiExperimentReplication.py] [SOURCE NEEDED: повний текст Mihai et al. для точного зіставлення початкових molecular descriptors і параметрів моделей]</w:t>
      </w:r>
      <w:bookmarkEnd w:id="8"/>
    </w:p>
    <w:p>
      <w:pPr>
        <w:pStyle w:val="Heading2"/>
        <w:bidi w:val="0"/>
        <w:jc w:val="start"/>
        <w:rPr/>
      </w:pPr>
      <w:bookmarkStart w:id="9" w:name="аналіз-хімічної-області-застосовності"/>
      <w:r>
        <w:rPr/>
        <w:t>Аналіз хімічної області застосовності</w:t>
      </w:r>
    </w:p>
    <w:p>
      <w:pPr>
        <w:pStyle w:val="FirstParagraph"/>
        <w:bidi w:val="0"/>
        <w:jc w:val="start"/>
        <w:rPr/>
      </w:pPr>
      <w:r>
        <w:rPr/>
        <w:t>Для кожної тестової сполуки в кожному scaffold-фолді визначали максимальну коефіцієнтну подібність Танімото між її Morgan fingerprint і fingerprints усіх сполук навчальної частини. Для кожної сполуки максимальну подібність та абсолютну OOF-похибку усереднювали між трьома варіантами scaffold-розподілу.</w:t>
      </w:r>
    </w:p>
    <w:p>
      <w:pPr>
        <w:pStyle w:val="BodyText"/>
        <w:bidi w:val="0"/>
        <w:jc w:val="start"/>
        <w:rPr/>
      </w:pPr>
      <w:r>
        <w:rPr/>
        <w:t>[PROJECT SOURCE: scripts/analyze_h1_h5.py; results/tables/FINAL_H4_similarity_vs_error.csv] [SOURCE NEEDED: первинне або методичне джерело для коефіцієнта Танімото у хемоінформатиці]</w:t>
      </w:r>
    </w:p>
    <w:p>
      <w:pPr>
        <w:pStyle w:val="BodyText"/>
        <w:bidi w:val="0"/>
        <w:jc w:val="start"/>
        <w:rPr/>
      </w:pPr>
      <w:r>
        <w:rPr/>
        <w:t>Зв’язок між максимальною подібністю до навчальної вибірки та абсолютною похибкою оцінювали за коефіцієнтом Спірмена. 95% довірчі інтервали отримували scaffold-кластерним bootstrap із 1500 ітераціями; додатково обчислювали часткову рангову кореляцію з контролем медіанного pIC50.</w:t>
      </w:r>
    </w:p>
    <w:p>
      <w:pPr>
        <w:pStyle w:val="BodyText"/>
        <w:bidi w:val="0"/>
        <w:jc w:val="start"/>
        <w:rPr/>
      </w:pPr>
      <w:r>
        <w:rPr/>
        <w:t>[PROJECT SOURCE: scripts/analyze_h1_h5.py; results/tables/FINAL_H4_similarity_vs_error.csv; results/tables/FINAL_H1_H5_METADATA.json]</w:t>
      </w:r>
      <w:bookmarkEnd w:id="9"/>
    </w:p>
    <w:p>
      <w:pPr>
        <w:pStyle w:val="Heading2"/>
        <w:bidi w:val="0"/>
        <w:jc w:val="start"/>
        <w:rPr/>
      </w:pPr>
      <w:bookmarkStart w:id="10" w:name="Xe6bffffcc4faae82bdabf0848d492c46639bb0e"/>
      <w:r>
        <w:rPr/>
        <w:t>Порівняння випадкового поділу з поділом за каркасами</w:t>
      </w:r>
    </w:p>
    <w:p>
      <w:pPr>
        <w:pStyle w:val="FirstParagraph"/>
        <w:bidi w:val="0"/>
        <w:jc w:val="start"/>
        <w:rPr/>
      </w:pPr>
      <w:r>
        <w:rPr/>
        <w:t xml:space="preserve">Для Random Forest і XGBoost на Morgan fingerprints додатково виконували випадкову п’ятикратну перехресну перевірку на тому самому наборі з 1645 сполук. Використовували три незалежні перемішування з </w:t>
      </w:r>
      <w:r>
        <w:rPr>
          <w:rStyle w:val="VerbatimChar"/>
        </w:rPr>
        <w:t>random_state</w:t>
      </w:r>
      <w:r>
        <w:rPr/>
        <w:t xml:space="preserve"> 1000, 1001 і 1002, зберігаючи ті самі параметри регресійних алгоритмів, що й в основному scaffold-аналізі.</w:t>
      </w:r>
    </w:p>
    <w:p>
      <w:pPr>
        <w:pStyle w:val="BodyText"/>
        <w:bidi w:val="0"/>
        <w:jc w:val="start"/>
        <w:rPr/>
      </w:pPr>
      <w:r>
        <w:rPr/>
        <w:t>[PROJECT SOURCE: scripts/analyze_h1_h5.py; results/tables/FINAL_H5_random_oof_morgan.csv; results/tables/FINAL_H5_random_vs_scaffold.csv; data/processed/trpa1_primary_dataset.csv]</w:t>
      </w:r>
    </w:p>
    <w:p>
      <w:pPr>
        <w:pStyle w:val="BodyText"/>
        <w:bidi w:val="0"/>
        <w:jc w:val="start"/>
        <w:rPr/>
      </w:pPr>
      <w:r>
        <w:rPr/>
        <w:t>Для кожного способу поділу розраховували RMSE, MAE, R² і коефіцієнт Спірмена на сукупності OOF-прогнозів. Метрики обчислювали окремо для кожного з трьох варіантів розподілу, після чого усереднювали між ними.</w:t>
      </w:r>
    </w:p>
    <w:p>
      <w:pPr>
        <w:pStyle w:val="BodyText"/>
        <w:bidi w:val="0"/>
        <w:jc w:val="start"/>
        <w:rPr/>
      </w:pPr>
      <w:r>
        <w:rPr/>
        <w:t>[PROJECT SOURCE: scripts/analyze_h1_h5.py; results/tables/FINAL_H5_random_vs_scaffold.csv]</w:t>
      </w:r>
    </w:p>
    <w:p>
      <w:pPr>
        <w:pStyle w:val="BodyText"/>
        <w:bidi w:val="0"/>
        <w:jc w:val="start"/>
        <w:rPr/>
      </w:pPr>
      <w:r>
        <w:rPr/>
        <w:t>Статистичну невизначеність різниці між random і scaffold split оцінювали окремо для RMSE, MAE та R². Одиницею повторного вибору був цілий хімічний каркас, а не окрема молекула. Для 95% довірчих інтервалів різниці виконували 5000 bootstrap-ітерацій із повторним вибором 544 каркасів. Двобічне p-значення отримували в 10 000 перестановках, у яких для кожного каркаса випадково міняли місцями помилки, отримані за random і scaffold validation. У кожній ітерації метрики спочатку обчислювали для трьох розподілів окремо, а потім усереднювали, як у головній таблиці H5.</w:t>
      </w:r>
    </w:p>
    <w:p>
      <w:pPr>
        <w:pStyle w:val="BodyText"/>
        <w:bidi w:val="0"/>
        <w:jc w:val="start"/>
        <w:rPr/>
      </w:pPr>
      <w:r>
        <w:rPr/>
        <w:t>[PROJECT SOURCE: scripts/test_h5_validation_difference.py; results/tables/FINAL_H5_significance.csv]</w:t>
      </w:r>
    </w:p>
    <w:p>
      <w:pPr>
        <w:pStyle w:val="BodyText"/>
        <w:bidi w:val="0"/>
        <w:jc w:val="start"/>
        <w:rPr/>
      </w:pPr>
      <w:r>
        <w:rPr/>
        <w:t>Для кожної моделі три p-значення, отримані для RMSE, MAE та R², коригували методом Холма. Коефіцієнт Спірмена подано описово й не включено до цього множинного тестування.</w:t>
      </w:r>
    </w:p>
    <w:p>
      <w:pPr>
        <w:pStyle w:val="BodyText"/>
        <w:bidi w:val="0"/>
        <w:jc w:val="start"/>
        <w:rPr/>
      </w:pPr>
      <w:r>
        <w:rPr/>
        <w:t>[PROJECT SOURCE: scripts/test_h5_validation_difference.py; results/tables/FINAL_H5_significance.csv] [SOURCE NEEDED: методичне джерело для cluster bootstrap і permutation test на рівні хімічних каркасів, якщо редакція вимагатиме зовнішнього статистичного посилання]</w:t>
      </w:r>
      <w:bookmarkEnd w:id="10"/>
    </w:p>
    <w:p>
      <w:pPr>
        <w:pStyle w:val="Heading2"/>
        <w:bidi w:val="0"/>
        <w:jc w:val="start"/>
        <w:rPr/>
      </w:pPr>
      <w:bookmarkStart w:id="11" w:name="X2035e6eb76fc635aa03aa8e3d9d459ae18bb614"/>
      <w:r>
        <w:rPr/>
        <w:t>Програмне забезпечення та відтворюваність</w:t>
      </w:r>
    </w:p>
    <w:p>
      <w:pPr>
        <w:pStyle w:val="FirstParagraph"/>
        <w:bidi w:val="0"/>
        <w:jc w:val="start"/>
        <w:rPr/>
      </w:pPr>
      <w:r>
        <w:rPr/>
        <w:t>Основний benchmark виконано в Python 3.12.13 із NumPy 2.0.2, pandas 2.2.2, scikit-learn 1.6.1, SciPy 1.16.3, XGBoost 3.3.0 і RDKit 2026.03.4. Точні параметри моделей, призначення фолдів, OOF-прогнози, контрольні суми вхідних файлів і таблиці результатів збережено в репозиторії проєкту.</w:t>
      </w:r>
    </w:p>
    <w:p>
      <w:pPr>
        <w:pStyle w:val="BodyText"/>
        <w:bidi w:val="0"/>
        <w:jc w:val="start"/>
        <w:rPr/>
      </w:pPr>
      <w:r>
        <w:rPr/>
        <w:t>[PROJECT SOURCE: results/tables/grid_final_metadata_20260801-152155.json; results/tables/grid_final_fold_assignments_20260801-152155.csv; results/tables/grid_final_oof_20260801-152155.csv; results/tables/grid_final_results_20260801-152155.csv] [SOURCE NEEDED: офіційні програмні цитати для Python-пакетів, які журнал вимагатиме включити до списку літератури]</w:t>
      </w:r>
    </w:p>
    <w:p>
      <w:pPr>
        <w:pStyle w:val="BodyText"/>
        <w:bidi w:val="0"/>
        <w:jc w:val="start"/>
        <w:rPr/>
      </w:pPr>
      <w:r>
        <w:rPr/>
        <w:t xml:space="preserve">Повторний запуск аналізів H1–H5 виконано в Python 3.13.13 із NumPy 2.4.6, pandas 3.0.3, SciPy 1.17.1, scikit-learn 1.8.0, XGBoost 3.2.0 і RDKit 2026.03.2. Скрипт </w:t>
      </w:r>
      <w:r>
        <w:rPr>
          <w:rStyle w:val="VerbatimChar"/>
        </w:rPr>
        <w:t>scripts/analyze_h1_h5.py</w:t>
      </w:r>
      <w:r>
        <w:rPr/>
        <w:t xml:space="preserve"> сформував таблиці H1–H5, random-split OOF-прогнози та метадані з контрольними сумами. Окремий скрипт </w:t>
      </w:r>
      <w:r>
        <w:rPr>
          <w:rStyle w:val="VerbatimChar"/>
        </w:rPr>
        <w:t>scripts/test_h5_validation_difference.py</w:t>
      </w:r>
      <w:r>
        <w:rPr/>
        <w:t xml:space="preserve"> сформував cluster-bootstrap і permutation результати для порівняння random та scaffold validation.</w:t>
      </w:r>
    </w:p>
    <w:p>
      <w:pPr>
        <w:pStyle w:val="BodyText"/>
        <w:bidi w:val="0"/>
        <w:jc w:val="start"/>
        <w:rPr/>
      </w:pPr>
      <w:r>
        <w:rPr/>
        <w:t>[PROJECT SOURCE: scripts/analyze_h1_h5.py; scripts/test_h5_validation_difference.py; results/tables/FINAL_H1_H5_METADATA.json; results/tables/FINAL_H5_significance.csv]</w:t>
      </w:r>
    </w:p>
    <w:p>
      <w:pPr>
        <w:pStyle w:val="BodyText"/>
        <w:bidi w:val="0"/>
        <w:jc w:val="start"/>
        <w:rPr/>
      </w:pPr>
      <w:r>
        <w:rPr/>
        <w:t xml:space="preserve">Канонічними вихідними файлами додаткових аналізів є </w:t>
      </w:r>
      <w:r>
        <w:rPr>
          <w:rStyle w:val="VerbatimChar"/>
        </w:rPr>
        <w:t>FINAL_H1_scaffold_performance.csv</w:t>
      </w:r>
      <w:r>
        <w:rPr/>
        <w:t xml:space="preserve">, </w:t>
      </w:r>
      <w:r>
        <w:rPr>
          <w:rStyle w:val="VerbatimChar"/>
        </w:rPr>
        <w:t>FINAL_H2_variability_vs_error.csv</w:t>
      </w:r>
      <w:r>
        <w:rPr/>
        <w:t xml:space="preserve">, </w:t>
      </w:r>
      <w:r>
        <w:rPr>
          <w:rStyle w:val="VerbatimChar"/>
        </w:rPr>
        <w:t>FINAL_H3_mihai_replication_summary.csv</w:t>
      </w:r>
      <w:r>
        <w:rPr/>
        <w:t xml:space="preserve">, </w:t>
      </w:r>
      <w:r>
        <w:rPr>
          <w:rStyle w:val="VerbatimChar"/>
        </w:rPr>
        <w:t>FINAL_H4_similarity_vs_error.csv</w:t>
      </w:r>
      <w:r>
        <w:rPr/>
        <w:t xml:space="preserve">, </w:t>
      </w:r>
      <w:r>
        <w:rPr>
          <w:rStyle w:val="VerbatimChar"/>
        </w:rPr>
        <w:t>FINAL_H5_random_vs_scaffold.csv</w:t>
      </w:r>
      <w:r>
        <w:rPr/>
        <w:t xml:space="preserve">, </w:t>
      </w:r>
      <w:r>
        <w:rPr>
          <w:rStyle w:val="VerbatimChar"/>
        </w:rPr>
        <w:t>FINAL_H5_random_oof_morgan.csv</w:t>
      </w:r>
      <w:r>
        <w:rPr/>
        <w:t xml:space="preserve"> і </w:t>
      </w:r>
      <w:r>
        <w:rPr>
          <w:rStyle w:val="VerbatimChar"/>
        </w:rPr>
        <w:t>FINAL_H5_significance.csv</w:t>
      </w:r>
      <w:r>
        <w:rPr/>
        <w:t>.</w:t>
      </w:r>
    </w:p>
    <w:p>
      <w:pPr>
        <w:pStyle w:val="BodyText"/>
        <w:bidi w:val="0"/>
        <w:jc w:val="start"/>
        <w:rPr/>
      </w:pPr>
      <w:r>
        <w:rPr/>
        <w:t>[PROJECT SOURCE: results/tables/FINAL_H1_scaffold_performance.csv; results/tables/FINAL_H2_variability_vs_error.csv; results/tables/FINAL_H3_mihai_replication_summary.csv; results/tables/FINAL_H4_similarity_vs_error.csv; results/tables/FINAL_H5_random_vs_scaffold.csv; results/tables/FINAL_H5_random_oof_morgan.csv; results/tables/FINAL_H5_significance.csv]</w:t>
      </w:r>
    </w:p>
    <w:p>
      <w:pPr>
        <w:pStyle w:val="BlockText"/>
        <w:bidi w:val="0"/>
        <w:spacing w:lineRule="auto" w:line="360" w:before="0" w:after="0"/>
        <w:ind w:hanging="0" w:start="0" w:end="480"/>
        <w:jc w:val="start"/>
        <w:rPr>
          <w:rFonts w:ascii="Times New Roman" w:hAnsi="Times New Roman"/>
          <w:sz w:val="28"/>
          <w:szCs w:val="28"/>
        </w:rPr>
      </w:pPr>
      <w:r>
        <w:rPr>
          <w:rFonts w:ascii="Times New Roman" w:hAnsi="Times New Roman"/>
          <w:sz w:val="28"/>
          <w:szCs w:val="28"/>
        </w:rPr>
        <w:t xml:space="preserve">[SOURCE NEEDED: скрипт </w:t>
      </w:r>
      <w:r>
        <w:rPr>
          <w:rStyle w:val="VerbatimChar"/>
          <w:rFonts w:ascii="Times New Roman" w:hAnsi="Times New Roman"/>
          <w:szCs w:val="28"/>
        </w:rPr>
        <w:t>scripts/test_h5_validation_difference.py</w:t>
      </w:r>
      <w:r>
        <w:rPr>
          <w:rFonts w:ascii="Times New Roman" w:hAnsi="Times New Roman"/>
          <w:sz w:val="28"/>
          <w:szCs w:val="28"/>
        </w:rPr>
        <w:t xml:space="preserve"> не записує окремий файл із версіями середовища; якщо цей запуск виконувався не в тому самому середовищі, що </w:t>
      </w:r>
      <w:r>
        <w:rPr>
          <w:rStyle w:val="VerbatimChar"/>
          <w:rFonts w:ascii="Times New Roman" w:hAnsi="Times New Roman"/>
          <w:szCs w:val="28"/>
        </w:rPr>
        <w:t>scripts/analyze_h1_h5.py</w:t>
      </w:r>
      <w:r>
        <w:rPr>
          <w:rFonts w:ascii="Times New Roman" w:hAnsi="Times New Roman"/>
          <w:sz w:val="28"/>
          <w:szCs w:val="28"/>
        </w:rPr>
        <w:t>, версії треба зафіксувати окремо.]</w:t>
      </w:r>
      <w:bookmarkEnd w:id="11"/>
    </w:p>
    <w:p>
      <w:pPr>
        <w:pStyle w:val="BodyText"/>
        <w:bidi w:val="0"/>
        <w:spacing w:lineRule="auto" w:line="360" w:before="0" w:after="0"/>
        <w:ind w:hanging="0" w:start="0"/>
        <w:jc w:val="start"/>
        <w:rPr>
          <w:rFonts w:ascii="Times New Roman" w:hAnsi="Times New Roman"/>
          <w:sz w:val="28"/>
          <w:szCs w:val="28"/>
        </w:rPr>
      </w:pPr>
      <w:r>
        <w:rPr>
          <w:rFonts w:ascii="Times New Roman" w:hAnsi="Times New Roman"/>
          <w:sz w:val="28"/>
          <w:szCs w:val="28"/>
        </w:rPr>
      </w:r>
    </w:p>
    <w:p>
      <w:pPr>
        <w:pStyle w:val="ManuscriptTitle"/>
        <w:rPr/>
      </w:pPr>
      <w:r>
        <w:rPr>
          <w:lang w:val="uk-UA" w:eastAsia="uk-UA"/>
        </w:rPr>
        <w:t>РЕЗУЛЬТАТИ ТА ОБГОВОРЕННЯ</w:t>
      </w:r>
    </w:p>
    <w:p>
      <w:pPr>
        <w:pStyle w:val="ManuscriptSubheading"/>
        <w:rPr/>
      </w:pPr>
      <w:r>
        <w:rPr>
          <w:lang w:val="uk-UA" w:eastAsia="uk-UA"/>
        </w:rPr>
        <w:t>Характеристика набору даних</w:t>
      </w:r>
    </w:p>
    <w:p>
      <w:pPr>
        <w:pStyle w:val="Normal"/>
        <w:widowControl/>
        <w:bidi w:val="0"/>
        <w:spacing w:lineRule="auto" w:line="360" w:before="0" w:after="0"/>
        <w:ind w:hanging="0"/>
        <w:jc w:val="both"/>
        <w:rPr/>
      </w:pPr>
      <w:r>
        <w:rPr>
          <w:rFonts w:eastAsia="Times New Roman" w:ascii="Times New Roman" w:hAnsi="Times New Roman"/>
          <w:sz w:val="28"/>
          <w:lang w:val="uk-UA" w:eastAsia="uk-UA"/>
        </w:rPr>
        <w:t>Після відбору точних значень IC50 для TRPA1 людини та стандартизації молекулярних структур набір даних містив 2196 записів активності, агрегованих до 1645 унікальних сполук. Сполуки належали до 544 унікальних хімічних каркасів Bemis–Murcko; вимірювання походили з 97 assays і 55 документів ChEMBL, опублікованих у 2010–2025 роках (табл. 1). Для 1196 сполук було доступне одне вимірювання, тоді як 449 сполук мали щонайменше два вимірювання. У 393 випадках сполука була представлена щонайменше у двох assays, а у 52 — щонайменше у двох документах.</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Медіана агрегованого pIC50 становила 7,32, міжквартильний інтервал — 6,63–7,88, а повний діапазон — 4,00–9,31. Отже, набір охоплював широкий спектр опублікованої інгібувальної активності. Наявність повторних вимірювань для частини сполук дала змогу окремо оцінити, чи пов’язана розбіжність літературних значень із похибкою прогнозування, однак цей аналіз стосувався лише підвибірки багаторазово досліджених молекул.</w:t>
      </w:r>
    </w:p>
    <w:p>
      <w:pPr>
        <w:pStyle w:val="ManuscriptSubheading"/>
        <w:rPr/>
      </w:pPr>
      <w:r>
        <w:rPr>
          <w:lang w:val="uk-UA" w:eastAsia="uk-UA"/>
        </w:rPr>
        <w:t>Прогнозування pIC50 для нових хімічних каркасів</w:t>
      </w:r>
    </w:p>
    <w:p>
      <w:pPr>
        <w:pStyle w:val="Normal"/>
        <w:widowControl/>
        <w:bidi w:val="0"/>
        <w:spacing w:lineRule="auto" w:line="360" w:before="0" w:after="0"/>
        <w:ind w:hanging="0"/>
        <w:jc w:val="both"/>
        <w:rPr/>
      </w:pPr>
      <w:r>
        <w:rPr>
          <w:rFonts w:eastAsia="Times New Roman" w:ascii="Times New Roman" w:hAnsi="Times New Roman"/>
          <w:sz w:val="28"/>
          <w:lang w:val="uk-UA" w:eastAsia="uk-UA"/>
        </w:rPr>
        <w:t>За scaffold-валідації моделі на основі Morgan fingerprints прогнозували агреговане pIC50 істотно краще, ніж базова модель, яка передбачала середнє значення навчальної вибірки. Для Random Forest із Morgan fingerprints середні RMSE, R² і коефіцієнт Спірмена становили відповідно 0,622 ± 0,002, 0,572 ± 0,003 і 0,723 ± 0,002. Для XGBoost із тим самим представленням ці показники становили 0,626 ± 0,001, 0,567 ± 0,002 і 0,727 ± 0,007 (табл. 2). Натомість у трьох scaffold-розподілах базова модель мала RMSE 0,953–0,954 та від’ємні значення R² від −0,006 до −0,003. Таким чином, молекулярна структура містила відтворюваний сигнал, який переносився на каркаси, відсутні під час навчання.</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Найвище середнє R² у повній сітці отримано для ChemBERTa-CLS у поєднанні з XGBoost: 0,574 ± 0,009 за RMSE 0,621 ± 0,006 і ρ Спірмена 0,740 ± 0,007. ChemBERTa-CLS із Random Forest дала R² 0,565 ± 0,016. Результати Morgan fingerprints були близькими до результатів ChemBERTa, тоді як MolFormer-Mean давав R² 0,552 ± 0,004 для Random Forest і 0,547 ± 0,005 для XGBoost. Найпростіший набір із 15 фізико-хімічних дескрипторів RDKit забезпечив R² 0,540 ± 0,026 із Random Forest і 0,487 ± 0,049 із XGBoost.</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 xml:space="preserve">Отримані дані не демонструють стабільної переваги складніших попередньо навчених молекулярних представлень над Morgan fingerprints. ChemBERTa + XGBoost мала найвище середнє R², однак Morgan + Random Forest показала практично таку саму RMSE і меншу мінливість між трьома scaffold-розподілами. Тому коректний висновок полягає не в тому, що нейронні представлення «програли», а в тому, що в межах цього набору жодне з них не забезпечило виразного та стабільного прориву порівняно із сильним fingerprint-базованим контролем. Подібна залежність переваг learned representations від розміру набору, способу попереднього навчання, downstream-алгоритму та схеми валідації потребує зіставлення з опублікованими молекулярними benchmark-дослідженнями. </w:t>
      </w:r>
      <w:r>
        <w:rPr>
          <w:rFonts w:eastAsia="Times New Roman" w:ascii="Times New Roman" w:hAnsi="Times New Roman"/>
          <w:b/>
          <w:sz w:val="28"/>
          <w:highlight w:val="yellow"/>
          <w:lang w:val="uk-UA" w:eastAsia="uk-UA"/>
        </w:rPr>
        <w:t>[SOURCE NEEDED: сучасні benchmark-дослідження, у яких pretrained molecular embeddings порівнювали з Morgan/ECFP у scaffold split для QSAR-регресії]</w:t>
      </w:r>
    </w:p>
    <w:p>
      <w:pPr>
        <w:pStyle w:val="Normal"/>
        <w:bidi w:val="0"/>
        <w:spacing w:lineRule="auto" w:line="360" w:before="0" w:after="0"/>
        <w:ind w:firstLine="720"/>
        <w:jc w:val="both"/>
        <w:rPr>
          <w:rFonts w:ascii="Times New Roman" w:hAnsi="Times New Roman"/>
          <w:sz w:val="28"/>
        </w:rPr>
      </w:pPr>
      <w:r>
        <w:rPr>
          <w:rFonts w:ascii="Times New Roman" w:hAnsi="Times New Roman"/>
          <w:sz w:val="28"/>
        </w:rPr>
        <w:t xml:space="preserve">Для подальших аналізів як спільне молекулярне представлення для Random Forest і XGBoost використовували Morgan fingerprints. Їхня якість у валідації за каркасами була зіставною з найкращими комбінаціями повної сітки: для Random Forest + Morgan середнє R² становило 0,572 ± 0,003, тоді як найвище значення в сітці для XGBoost + ChemBERTa-CLS — 0,574 ± 0,009. Крім того, аналіз хімічної віддаленості безпосередньо ґрунтувався на коефіцієнті Танімото між Morgan fingerprints, тому це представлення забезпечувало єдину основу для всіх трьох додаткових аналізів. </w:t>
      </w:r>
    </w:p>
    <w:p>
      <w:pPr>
        <w:pStyle w:val="Normal"/>
        <w:bidi w:val="0"/>
        <w:spacing w:lineRule="auto" w:line="360" w:before="0" w:after="0"/>
        <w:ind w:hanging="0" w:start="0"/>
        <w:jc w:val="start"/>
        <w:rPr>
          <w:rFonts w:ascii="Times New Roman" w:hAnsi="Times New Roman"/>
          <w:sz w:val="28"/>
        </w:rPr>
      </w:pPr>
      <w:r>
        <w:rPr>
          <w:rFonts w:ascii="Times New Roman" w:hAnsi="Times New Roman"/>
          <w:sz w:val="28"/>
        </w:rPr>
        <w:t xml:space="preserve">Оскільки жодне з представлень не забезпечило стабільної переваги, подальший аналіз спрямовано не на пошук кращої моделі, а на з'ясування того, що саме визначає похибку прогнозу. Для цього оцінювали три можливі чинники: розбіжність опублікованих значень, хімічну віддаленість тестової сполуки та спосіб поділу даних. </w:t>
      </w:r>
    </w:p>
    <w:p>
      <w:pPr>
        <w:pStyle w:val="ManuscriptSubheading"/>
        <w:rPr/>
      </w:pPr>
      <w:r>
        <w:rPr>
          <w:lang w:val="uk-UA" w:eastAsia="uk-UA"/>
        </w:rPr>
        <w:t>Допоміжне порівняння з класифікацією «ліганд проти випадкового decoy»</w:t>
      </w:r>
    </w:p>
    <w:p>
      <w:pPr>
        <w:pStyle w:val="Normal"/>
        <w:widowControl/>
        <w:bidi w:val="0"/>
        <w:spacing w:lineRule="auto" w:line="360" w:before="0" w:after="0"/>
        <w:ind w:hanging="0"/>
        <w:jc w:val="both"/>
        <w:rPr/>
      </w:pPr>
      <w:r>
        <w:rPr>
          <w:rFonts w:eastAsia="Times New Roman" w:ascii="Times New Roman" w:hAnsi="Times New Roman"/>
          <w:sz w:val="28"/>
          <w:lang w:val="uk-UA" w:eastAsia="uk-UA"/>
        </w:rPr>
        <w:t>У допоміжній класифікаційній постановці відомі сполуки TRPA1 відокремлювали від випадково вибраних decoy-молекул ChEMBL майже безпомилково. Точність становила 0,9864 для Random Forest, 0,9864 для SVM і 0,9909 для повнозв’язної нейронної мережі; середня ROC AUC у десятикратній перехресній перевірці становила відповідно 0,9982, 0,9968 і 0,9983.</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 xml:space="preserve">Ці значення не можна прямо зіставляти з R² регресійної задачі, оскільки йдеться про іншу цільову змінну та інший тип перевірки. Однак контраст між майже ідеальною класифікацією і помірною точністю scaffold-регресії показує, наскільки висновок про «якість моделі» залежить від постановки задачі. У цьому допоміжному аналізі decoys були випадковими, а не підібраними за фізико-хімічними властивостями; тому модель могла використовувати загальні відмінності між відомими лігандами та фоновими молекулами, не розв’язуючи складнішої задачі прогнозування potency для нових активних каркасів. </w:t>
      </w:r>
      <w:r>
        <w:rPr>
          <w:rFonts w:eastAsia="Times New Roman" w:ascii="Times New Roman" w:hAnsi="Times New Roman"/>
          <w:b/>
          <w:sz w:val="28"/>
          <w:highlight w:val="yellow"/>
          <w:lang w:val="uk-UA" w:eastAsia="uk-UA"/>
        </w:rPr>
        <w:t>[SOURCE NEEDED: методичні роботи про decoy bias, property-unmatched random decoys і завищення якості ligand-versus-decoy classification]</w:t>
      </w:r>
      <w:r>
        <w:rPr>
          <w:rFonts w:eastAsia="Times New Roman" w:ascii="Times New Roman" w:hAnsi="Times New Roman"/>
          <w:sz w:val="28"/>
          <w:lang w:val="uk-UA" w:eastAsia="uk-UA"/>
        </w:rPr>
        <w:t xml:space="preserve"> Отже, цей аналіз є допоміжним відтворенням постановки задачі, а не доказом готовності моделі до проспективного віртуального скринінгу.</w:t>
      </w:r>
    </w:p>
    <w:p>
      <w:pPr>
        <w:pStyle w:val="ManuscriptSubheading"/>
        <w:rPr/>
      </w:pPr>
      <w:r>
        <w:rPr>
          <w:lang w:val="uk-UA" w:eastAsia="uk-UA"/>
        </w:rPr>
        <w:t>Розбіжність опублікованих значень і похибка прогнозування</w:t>
      </w:r>
    </w:p>
    <w:p>
      <w:pPr>
        <w:pStyle w:val="Normal"/>
        <w:widowControl/>
        <w:bidi w:val="0"/>
        <w:spacing w:lineRule="auto" w:line="360" w:before="0" w:after="0"/>
        <w:ind w:hanging="0"/>
        <w:jc w:val="both"/>
        <w:rPr/>
      </w:pPr>
      <w:r>
        <w:rPr>
          <w:rFonts w:eastAsia="Times New Roman" w:ascii="Times New Roman" w:hAnsi="Times New Roman"/>
          <w:sz w:val="28"/>
          <w:lang w:val="uk-UA" w:eastAsia="uk-UA"/>
        </w:rPr>
        <w:t>На рівні різних assays аналіз охоплював 393 сполуки, що належали до 164 хімічних каркасів (рис. 2). Для основного показника розбіжності — розмаху pIC50 між assay-level медіанами — кореляція з абсолютною OOF-похибкою була додатною, але слабкою. Для Random Forest із Morgan fingerprints ρ становив 0,127; 95% довірчий інтервал — 0,001–0,256, а скориговане методом Холма p-значення — 0,046. Для XGBoost ρ становив 0,164; 95% довірчий інтервал — 0,039–0,301, p_Holm = 0,004. Після контролю медіанного pIC50 і кількості assays часткові кореляції зменшувалися до 0,071 і 0,105 відповідно.</w:t>
      </w:r>
    </w:p>
    <w:p>
      <w:pPr>
        <w:pStyle w:val="Normal"/>
        <w:widowControl/>
        <w:bidi w:val="0"/>
        <w:spacing w:lineRule="auto" w:line="360" w:before="0" w:after="0"/>
        <w:ind w:firstLine="709"/>
        <w:jc w:val="both"/>
        <w:rPr>
          <w:rFonts w:ascii="Times New Roman" w:hAnsi="Times New Roman" w:eastAsia="Times New Roman"/>
          <w:sz w:val="28"/>
          <w:lang w:val="uk-UA" w:eastAsia="uk-UA"/>
        </w:rPr>
      </w:pPr>
      <w:r>
        <w:rPr>
          <w:rFonts w:eastAsia="Times New Roman" w:ascii="Times New Roman" w:hAnsi="Times New Roman"/>
          <w:sz w:val="28"/>
          <w:lang w:val="uk-UA" w:eastAsia="uk-UA"/>
        </w:rPr>
        <w:t>У суворішому аналізі різних документів було лише 52 сполуки з 28 каркасів. Тут зв’язок був сильнішим: для Random Forest ρ = 0,347, 95% довірчий інтервал 0,063–0,607, p_Holm = 0,046; для XGBoost ρ = 0,449, 95% довірчий інтервал 0,109–0,698, p_Holm = 0,003. Після контролю potency і кількості документів часткові ρ залишалися 0,339 і 0,404.</w:t>
      </w:r>
    </w:p>
    <w:p>
      <w:pPr>
        <w:pStyle w:val="Normal"/>
        <w:widowControl/>
        <w:bidi w:val="0"/>
        <w:spacing w:lineRule="auto" w:line="360" w:before="0" w:after="0"/>
        <w:ind w:firstLine="709"/>
        <w:jc w:val="both"/>
        <w:rPr>
          <w:rFonts w:ascii="Times New Roman" w:hAnsi="Times New Roman" w:eastAsia="Times New Roman"/>
          <w:sz w:val="28"/>
          <w:lang w:val="uk-UA" w:eastAsia="uk-UA"/>
        </w:rPr>
      </w:pPr>
      <w:r>
        <w:rPr>
          <w:rFonts w:eastAsia="Times New Roman" w:ascii="Times New Roman" w:hAnsi="Times New Roman"/>
          <w:sz w:val="28"/>
          <w:lang w:val="uk-UA" w:eastAsia="uk-UA"/>
        </w:rPr>
        <w:t xml:space="preserve">Для порівняння: середня абсолютна похибка моделі становила 0,471, тоді як середня абсолютна розбіжність повторно виміряних пар «сполука–білок» у зведеному аналізі публічних даних сягає 0,83 log-одиниці [13]. Отже, похибка прогнозу не перевищує типового розходження між незалежними літературними вимірюваннями. </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 xml:space="preserve">Таким чином, більша розбіжність опублікованих значень була пов’язана з більшою похибкою моделі, але на широкій multi-assay підвибірці цей зв’язок був невеликим. Сильніша міждокументна асоціація не повинна розглядатися як загальна оцінка для всього набору, оскільки вона отримана лише для 52 багаторазово опублікованих сполук. Результати узгоджуються з припущенням, що неоднорідність експериментальних умов є одним із джерел варіації reported pIC50, але не підтверджують універсальної «стелі» прогнозованості й не встановлюють причинного впливу конкретного параметра протоколу. Для TRPA1 правдоподібними чинниками є природа та концентрація агоніста, клітинна система, спосіб реєстрації, Ca²⁺-залежна регуляція, порядок додавання речовин і десенситизація каналу. </w:t>
      </w:r>
      <w:r>
        <w:rPr>
          <w:rFonts w:eastAsia="Times New Roman" w:ascii="Times New Roman" w:hAnsi="Times New Roman"/>
          <w:b/>
          <w:sz w:val="28"/>
          <w:highlight w:val="yellow"/>
          <w:lang w:val="uk-UA" w:eastAsia="uk-UA"/>
        </w:rPr>
        <w:t>[SOURCE NEEDED: первинні роботи або огляд, що підтверджують залежність вимірюваної інгібувальної активності TRPA1 від агоніста, Ca²⁺, клітинної системи, timing і десенситизації]</w:t>
      </w:r>
      <w:r>
        <w:rPr>
          <w:rFonts w:eastAsia="Times New Roman" w:ascii="Times New Roman" w:hAnsi="Times New Roman"/>
          <w:sz w:val="28"/>
          <w:lang w:val="uk-UA" w:eastAsia="uk-UA"/>
        </w:rPr>
        <w:t xml:space="preserve"> У цій роботі внесок окремих чинників не ізолювали.</w:t>
      </w:r>
    </w:p>
    <w:p>
      <w:pPr>
        <w:pStyle w:val="ManuscriptSubheading"/>
        <w:rPr/>
      </w:pPr>
      <w:r>
        <w:rPr>
          <w:lang w:val="uk-UA" w:eastAsia="uk-UA"/>
        </w:rPr>
        <w:t>Хімічна віддаленість і область застосовності</w:t>
      </w:r>
    </w:p>
    <w:p>
      <w:pPr>
        <w:pStyle w:val="Normal"/>
        <w:widowControl/>
        <w:bidi w:val="0"/>
        <w:spacing w:lineRule="auto" w:line="360" w:before="0" w:after="0"/>
        <w:ind w:hanging="0"/>
        <w:jc w:val="both"/>
        <w:rPr/>
      </w:pPr>
      <w:r>
        <w:rPr>
          <w:rFonts w:eastAsia="Times New Roman" w:ascii="Times New Roman" w:hAnsi="Times New Roman"/>
          <w:sz w:val="28"/>
          <w:lang w:val="uk-UA" w:eastAsia="uk-UA"/>
        </w:rPr>
        <w:t>Для всіх 1645 сполук максимальна подібність Morgan/Tanimoto до навчальної вибірки була негативно пов’язана з абсолютною OOF-похибкою (рис. 3). Для Random Forest ρ становив −0,177, 95% довірчий інтервал — від −0,242 до −0,112, p = 4,26 × 10⁻¹³. Для XGBoost отримано ρ = −0,177, 95% довірчий інтервал — від −0,240 до −0,111, p = 5,12 × 10⁻¹³. Після контролю медіанного pIC50 часткові кореляції становили −0,139 для обох моделей.</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 xml:space="preserve">Отже, зі зменшенням схожості до найближчої навчальної молекули похибка зростала. Водночас величина кореляції залишалася невеликою: сама лише Tanimoto similarity не дає достатньої інформації для точного передбачення індивідуальної похибки. Її доцільно розглядати як простий індикатор області застосовності, а не як жорсткий поріг надійності. </w:t>
      </w:r>
      <w:r>
        <w:rPr>
          <w:rFonts w:eastAsia="Times New Roman" w:ascii="Times New Roman" w:hAnsi="Times New Roman"/>
          <w:b/>
          <w:sz w:val="28"/>
          <w:highlight w:val="yellow"/>
          <w:lang w:val="uk-UA" w:eastAsia="uk-UA"/>
        </w:rPr>
        <w:t>[SOURCE NEEDED: методичні джерела щодо використання nearest-neighbor Tanimoto similarity для оцінювання applicability domain у QSAR]</w:t>
      </w:r>
      <w:r>
        <w:rPr>
          <w:rFonts w:eastAsia="Times New Roman" w:ascii="Times New Roman" w:hAnsi="Times New Roman"/>
          <w:sz w:val="28"/>
          <w:lang w:val="uk-UA" w:eastAsia="uk-UA"/>
        </w:rPr>
        <w:t xml:space="preserve"> Цей результат доповнює scaffold-валідацію: навіть після повного розділення каркасів ступінь локальної хімічної близькості до train залишається пов’язаним із точністю прогнозу.</w:t>
      </w:r>
    </w:p>
    <w:p>
      <w:pPr>
        <w:pStyle w:val="ManuscriptSubheading"/>
        <w:rPr/>
      </w:pPr>
      <w:r>
        <w:rPr>
          <w:lang w:val="uk-UA" w:eastAsia="uk-UA"/>
        </w:rPr>
        <w:t>Вплив стратегії поділу даних</w:t>
      </w:r>
    </w:p>
    <w:p>
      <w:pPr>
        <w:pStyle w:val="Normal"/>
        <w:widowControl/>
        <w:bidi w:val="0"/>
        <w:spacing w:lineRule="auto" w:line="360" w:before="0" w:after="0"/>
        <w:ind w:hanging="0"/>
        <w:jc w:val="both"/>
        <w:rPr/>
      </w:pPr>
      <w:r>
        <w:rPr>
          <w:rFonts w:ascii="Times New Roman" w:hAnsi="Times New Roman"/>
          <w:sz w:val="28"/>
        </w:rPr>
        <w:t>Найвиразніший систематичний зсув показників якості виникав при зміні стратегії валідації (рис. 4). Для Random Forest із Morgan fingerprints середнє R² збільшувалося з 0,572 ± 0,003 за scaffold split до 0,640 ± 0,005 за random split. Для XGBoost відповідні значення становили 0,567 ± 0,002 і 0,638 ± 0,002. Підвищення R² при random split дорівнювало 0,068 для Random Forest із 95% довірчим інтервалом 0,039–0,101 і 0,071 для XGBoost із довірчим інтервалом 0,045–0,102. RMSE, MAE та коефіцієнт Спірмена також змінювалися в сприятливому для random split напрямку.</w:t>
      </w:r>
    </w:p>
    <w:p>
      <w:pPr>
        <w:pStyle w:val="Normal"/>
        <w:widowControl/>
        <w:bidi w:val="0"/>
        <w:spacing w:lineRule="auto" w:line="360" w:before="0" w:after="0"/>
        <w:ind w:firstLine="709"/>
        <w:jc w:val="both"/>
        <w:rPr/>
      </w:pPr>
      <w:r>
        <w:rPr>
          <w:rFonts w:ascii="Times New Roman" w:hAnsi="Times New Roman"/>
          <w:sz w:val="28"/>
        </w:rPr>
        <w:t xml:space="preserve">При random split у середньому 79,0% тестових молекул мали хімічний каркас, уже присутній у навчальній вибірці. Тому random validation значною мірою оцінювала інтерполяцію всередині відомих scaffold families, тоді як scaffold validation вимагала перенесення на нові каркаси. У нашому наборі це безпосередньо проявилося систематично вищими показниками якості за random split, тобто оптимістичнішою оцінкою здатності моделі переноситися на структурно нові сполуки. </w:t>
      </w:r>
      <w:r>
        <w:rPr>
          <w:rFonts w:ascii="Times New Roman" w:hAnsi="Times New Roman"/>
          <w:b/>
          <w:sz w:val="28"/>
          <w:highlight w:val="yellow"/>
        </w:rPr>
        <w:t>[SOURCE NEEDED: методичні benchmark-роботи про random split, scaffold split і завищення оцінки generalization у molecular ML]</w:t>
      </w:r>
      <w:r>
        <w:rPr>
          <w:rFonts w:ascii="Times New Roman" w:hAnsi="Times New Roman"/>
          <w:sz w:val="28"/>
        </w:rPr>
        <w:t xml:space="preserve"> Для задачі пошуку структурно нових інгібіторів TRPA1 саме scaffold-валідація є більш релевантною перевіркою, тоді як random split може бути корисним для іншого сценарію — прогнозування нових аналогів у межах уже відомих хімічних серій. </w:t>
      </w:r>
      <w:r>
        <w:rPr>
          <w:rFonts w:ascii="Times New Roman" w:hAnsi="Times New Roman"/>
          <w:b/>
          <w:sz w:val="28"/>
          <w:highlight w:val="yellow"/>
        </w:rPr>
        <w:t>[SOURCE NEEDED: джерело, що розрізняє interpolation within known chemical series і extrapolation to unseen scaffolds]</w:t>
      </w:r>
    </w:p>
    <w:p>
      <w:pPr>
        <w:pStyle w:val="ManuscriptSubheading"/>
        <w:rPr/>
      </w:pPr>
      <w:r>
        <w:rPr>
          <w:lang w:val="uk-UA" w:eastAsia="uk-UA"/>
        </w:rPr>
        <w:t>Узагальнення результатів та обмеження інтерпретації</w:t>
      </w:r>
    </w:p>
    <w:p>
      <w:pPr>
        <w:pStyle w:val="Normal"/>
        <w:widowControl/>
        <w:bidi w:val="0"/>
        <w:spacing w:lineRule="auto" w:line="360" w:before="0" w:after="0"/>
        <w:ind w:hanging="0"/>
        <w:jc w:val="both"/>
        <w:rPr/>
      </w:pPr>
      <w:r>
        <w:rPr>
          <w:rFonts w:eastAsia="Times New Roman" w:ascii="Times New Roman" w:hAnsi="Times New Roman"/>
          <w:sz w:val="28"/>
          <w:lang w:val="uk-UA" w:eastAsia="uk-UA"/>
        </w:rPr>
        <w:t>У сукупності результати показують, що структура молекули дає реальний сигнал для прогнозування агрегованого pIC50 TRPA1 людини навіть за відсутності тестового каркаса у навчальній вибірці, однак точність такої екстраполяції залишається обмеженою. Найкращі результати ChemBERTa + XGBoost і Morgan + Random Forest були близькими, тому вибір складнішого molecular representation сам по собі не усунув основну похибку. Значно сильніше видиму якість змінювала стратегія поділу даних. Хімічна віддаленість демонструвала невеликий, але стабільний зв’язок із похибкою, а розбіжність опублікованих значень — слабкий зв’язок на рівні різних assays і сильніший зв’язок лише в малій міждокументній підвибірці.</w:t>
      </w:r>
    </w:p>
    <w:p>
      <w:pPr>
        <w:pStyle w:val="Normal"/>
        <w:widowControl/>
        <w:bidi w:val="0"/>
        <w:spacing w:lineRule="auto" w:line="360" w:before="0" w:after="0"/>
        <w:ind w:firstLine="709"/>
        <w:jc w:val="both"/>
        <w:rPr/>
      </w:pPr>
      <w:r>
        <w:rPr>
          <w:rFonts w:eastAsia="Times New Roman" w:ascii="Times New Roman" w:hAnsi="Times New Roman"/>
          <w:sz w:val="28"/>
          <w:lang w:val="uk-UA" w:eastAsia="uk-UA"/>
        </w:rPr>
        <w:t>Основною особливістю цільової змінної є те, що вона являє собою медіану літературних значень для стандартизованої сполуки. Отже, модель прогнозує агреговану reported potency, а не IC50, яке гарантовано відтвориться в одному визначеному протоколі. Крім того, робота є ретроспективною: вона не містить проспективного скринінгу нових молекул і лабораторної перевірки прогнозів. Аналіз не встановлює причинного внеску окремих assay-параметрів, а міждокументний результат ґрунтується лише на 52 сполуках. Допоміжна ligand-versus-random-decoy classification також не повинна трактуватися як зовнішня валідація регресійної моделі.</w:t>
      </w:r>
    </w:p>
    <w:p>
      <w:pPr>
        <w:pStyle w:val="Normal"/>
        <w:bidi w:val="0"/>
        <w:spacing w:lineRule="auto" w:line="360" w:before="0" w:after="0"/>
        <w:ind w:firstLine="720"/>
        <w:jc w:val="both"/>
        <w:rPr/>
      </w:pPr>
      <w:r>
        <w:rPr>
          <w:rFonts w:ascii="Times New Roman" w:hAnsi="Times New Roman"/>
          <w:sz w:val="28"/>
        </w:rPr>
        <w:t>Окремий аудит assay-походження записів було проведено вже після формування molecule-level набору та завершення основного benchmark. Тому пізнішу класифікацію assays як primary, sensitivity або excluded не використовували ретроспективно як критерій включення під час навчання моделей або в аналізах H1–H5. Основні результати, наведені в цій роботі, стосуються початково зафіксованого набору; це слід враховувати при інтерпретації їхньої біологічної однорідності.</w:t>
      </w:r>
    </w:p>
    <w:p>
      <w:pPr>
        <w:pStyle w:val="Normal"/>
        <w:widowControl/>
        <w:bidi w:val="0"/>
        <w:spacing w:lineRule="auto" w:line="360" w:before="0" w:after="0"/>
        <w:ind w:firstLine="709"/>
        <w:jc w:val="both"/>
        <w:rPr>
          <w:sz w:val="28"/>
          <w:szCs w:val="28"/>
        </w:rPr>
      </w:pPr>
      <w:r>
        <w:rPr>
          <w:rFonts w:ascii="Times New Roman" w:hAnsi="Times New Roman"/>
          <w:sz w:val="28"/>
          <w:szCs w:val="28"/>
        </w:rPr>
        <w:t>Тому практичне використання отриманих моделей має спиратися на scaffold-aware оцінку, врахування хімічної близькості до навчального набору та експериментальне підтвердження відібраних кандидатів. Поточні результати обґрунтовують застосування моделі як інструмента пріоритизації сполук, але не як заміну вимірюванню активності й не як доказ проспективного відкриття нових антагоністів.</w:t>
      </w:r>
    </w:p>
    <w:p>
      <w:pPr>
        <w:pStyle w:val="Normal"/>
        <w:bidi w:val="0"/>
        <w:spacing w:lineRule="auto" w:line="360" w:before="0" w:after="120"/>
        <w:jc w:val="center"/>
        <w:rPr/>
      </w:pPr>
      <w:r>
        <w:rPr>
          <w:rFonts w:ascii="Times New Roman" w:hAnsi="Times New Roman"/>
          <w:b/>
          <w:sz w:val="28"/>
          <w:lang w:val="uk-UA"/>
        </w:rPr>
        <w:t>ВИСНОВКИ</w:t>
      </w:r>
    </w:p>
    <w:p>
      <w:pPr>
        <w:pStyle w:val="Normal"/>
        <w:bidi w:val="0"/>
        <w:spacing w:lineRule="auto" w:line="360" w:before="0" w:after="0"/>
        <w:ind w:hanging="425" w:start="425"/>
        <w:jc w:val="both"/>
        <w:rPr/>
      </w:pPr>
      <w:r>
        <w:rPr>
          <w:rFonts w:eastAsia="Times New Roman" w:ascii="Times New Roman" w:hAnsi="Times New Roman"/>
          <w:sz w:val="28"/>
          <w:lang w:val="uk-UA"/>
        </w:rPr>
        <w:t>1. Молекулярна структура містить відтворюваний сигнал для прогнозування агрегованого pIC50 інгібування TRPA1 людини для хімічних каркасів, відсутніх у навчальній вибірці: моделі на Morgan fingerprints за scaffold-валідації досягали R² близько 0,57 і перевищували базове передбачення середнього значення.</w:t>
      </w:r>
    </w:p>
    <w:p>
      <w:pPr>
        <w:pStyle w:val="Normal"/>
        <w:bidi w:val="0"/>
        <w:spacing w:lineRule="auto" w:line="360" w:before="0" w:after="0"/>
        <w:ind w:hanging="425" w:start="425"/>
        <w:jc w:val="both"/>
        <w:rPr/>
      </w:pPr>
      <w:r>
        <w:rPr>
          <w:rFonts w:eastAsia="Times New Roman" w:ascii="Times New Roman" w:hAnsi="Times New Roman"/>
          <w:sz w:val="28"/>
          <w:lang w:val="uk-UA"/>
        </w:rPr>
        <w:t>2. Жодне з досліджених попередньо навчених молекулярних представлень не забезпечило виразної та стабільної переваги над Morgan fingerprints; найкращі результати ChemBERTa у поєднанні з XGBoost і Morgan fingerprints у поєднанні з Random Forest були близькими.</w:t>
      </w:r>
    </w:p>
    <w:p>
      <w:pPr>
        <w:pStyle w:val="Normal"/>
        <w:bidi w:val="0"/>
        <w:spacing w:lineRule="auto" w:line="360" w:before="0" w:after="0"/>
        <w:ind w:hanging="425" w:start="425"/>
        <w:jc w:val="both"/>
        <w:rPr/>
      </w:pPr>
      <w:r>
        <w:rPr>
          <w:rFonts w:eastAsia="Times New Roman" w:ascii="Times New Roman" w:hAnsi="Times New Roman"/>
          <w:sz w:val="28"/>
          <w:lang w:val="uk-UA"/>
        </w:rPr>
        <w:t>3. Розбіжність опублікованих значень pIC50 була пов’язана з похибкою слабко на рівні різних assays і сильніше лише в малій міждокументній підвибірці. Хімічна віддаленість від навчальної вибірки також демонструвала невеликий, але стабільний зв’язок із похибкою.</w:t>
      </w:r>
    </w:p>
    <w:p>
      <w:pPr>
        <w:pStyle w:val="Normal"/>
        <w:bidi w:val="0"/>
        <w:spacing w:lineRule="auto" w:line="360" w:before="0" w:after="0"/>
        <w:ind w:hanging="425" w:start="425"/>
        <w:jc w:val="both"/>
        <w:rPr>
          <w:rFonts w:ascii="Times New Roman" w:hAnsi="Times New Roman"/>
          <w:sz w:val="28"/>
        </w:rPr>
      </w:pPr>
      <w:r>
        <w:rPr>
          <w:rFonts w:ascii="Times New Roman" w:hAnsi="Times New Roman"/>
          <w:sz w:val="28"/>
        </w:rPr>
        <w:t>4. Стратегія валідації істотно впливала на видиму якість моделей: random split давав оптимістичнішу оцінку, ніж scaffold split. Тому для оцінювання перенесення на структурно нові сполуки доцільно використовувати scaffold-aware validation і трактувати прогнози як інструмент пріоритизації, що потребує експериментального підтвердження.</w:t>
      </w:r>
    </w:p>
    <w:p>
      <w:pPr>
        <w:pStyle w:val="Heading1"/>
        <w:bidi w:val="0"/>
        <w:jc w:val="start"/>
        <w:rPr/>
      </w:pPr>
      <w:r>
        <w:rPr/>
        <w:t>Список джерел</w:t>
      </w:r>
    </w:p>
    <w:p>
      <w:pPr>
        <w:pStyle w:val="Normal"/>
        <w:bidi w:val="0"/>
        <w:spacing w:before="0" w:after="60"/>
        <w:ind w:hanging="425" w:start="425"/>
        <w:jc w:val="start"/>
        <w:rPr/>
      </w:pPr>
      <w:r>
        <w:rPr>
          <w:b/>
        </w:rPr>
        <w:t xml:space="preserve">1. </w:t>
      </w:r>
      <w:r>
        <w:rPr/>
        <w:t>Talavera K, Startek JB, Alvarez-Collazo J, Boonen B, Alpizar YA, Sanchez A, Naert R, Nilius B. Mammalian transient receptor potential TRPA1 channels: from structure to disease. Physiol Rev. 2020;100(2):725-803. DOI: 10.1152/physrev.00005.2019.</w:t>
      </w:r>
    </w:p>
    <w:p>
      <w:pPr>
        <w:pStyle w:val="Normal"/>
        <w:bidi w:val="0"/>
        <w:spacing w:lineRule="auto" w:line="276" w:before="0" w:after="160"/>
        <w:ind w:start="425"/>
        <w:jc w:val="start"/>
        <w:rPr/>
      </w:pPr>
      <w:r>
        <w:rPr>
          <w:i/>
          <w:sz w:val="24"/>
        </w:rPr>
        <w:t>Цитуємо для Вступу як комплексний огляд фізіології, регуляції та участі TRPA1 у ноцицепції, запаленні й патологічних станах, а також для контексту залежності функції каналу від Ca2+ та інших модулювальних чинників.</w:t>
      </w:r>
    </w:p>
    <w:p>
      <w:pPr>
        <w:pStyle w:val="Normal"/>
        <w:bidi w:val="0"/>
        <w:spacing w:before="0" w:after="60"/>
        <w:ind w:hanging="425" w:start="425"/>
        <w:jc w:val="start"/>
        <w:rPr/>
      </w:pPr>
      <w:r>
        <w:rPr>
          <w:b/>
        </w:rPr>
        <w:t xml:space="preserve">2. </w:t>
      </w:r>
      <w:r>
        <w:rPr/>
        <w:t>de Araujo DSM, Nassini R, Geppetti P, De Logu F. TRPA1 as a therapeutic target for nociceptive pain. Expert Opin Ther Targets. 2020;24(10):997-1008. DOI: 10.1080/14728222.2020.1815191.</w:t>
      </w:r>
    </w:p>
    <w:p>
      <w:pPr>
        <w:pStyle w:val="Normal"/>
        <w:bidi w:val="0"/>
        <w:spacing w:lineRule="auto" w:line="276" w:before="0" w:after="160"/>
        <w:ind w:start="425"/>
        <w:jc w:val="start"/>
        <w:rPr/>
      </w:pPr>
      <w:r>
        <w:rPr>
          <w:i/>
          <w:sz w:val="24"/>
        </w:rPr>
        <w:t>Цитуємо у Вступі для обґрунтування TRPA1 як фармакологічної мішені при ноцицептивному та хронічному болю.</w:t>
      </w:r>
    </w:p>
    <w:p>
      <w:pPr>
        <w:pStyle w:val="Normal"/>
        <w:bidi w:val="0"/>
        <w:spacing w:before="0" w:after="60"/>
        <w:ind w:hanging="425" w:start="425"/>
        <w:jc w:val="start"/>
        <w:rPr/>
      </w:pPr>
      <w:r>
        <w:rPr>
          <w:b/>
        </w:rPr>
        <w:t xml:space="preserve">3. </w:t>
      </w:r>
      <w:r>
        <w:rPr/>
        <w:t>Mihai DP, Trif C, Stancov G, Radulescu D, Nitulescu GM. Artificial intelligence algorithms for discovering new active compounds targeting TRPA1 pain receptors. AI. 2020;1(2):276-285. DOI: 10.3390/ai1020018.</w:t>
      </w:r>
    </w:p>
    <w:p>
      <w:pPr>
        <w:pStyle w:val="Normal"/>
        <w:bidi w:val="0"/>
        <w:spacing w:lineRule="auto" w:line="276" w:before="0" w:after="160"/>
        <w:ind w:start="425"/>
        <w:jc w:val="start"/>
        <w:rPr/>
      </w:pPr>
      <w:r>
        <w:rPr>
          <w:i/>
          <w:sz w:val="24"/>
        </w:rPr>
        <w:t>Цитуємо як попередню ML-роботу щодо TRPA1 і як вихідну постановку для допоміжного порівняння ligand-versus-random-decoy classification.</w:t>
      </w:r>
    </w:p>
    <w:p>
      <w:pPr>
        <w:pStyle w:val="Normal"/>
        <w:bidi w:val="0"/>
        <w:spacing w:before="0" w:after="60"/>
        <w:ind w:hanging="425" w:start="425"/>
        <w:jc w:val="start"/>
        <w:rPr/>
      </w:pPr>
      <w:r>
        <w:rPr>
          <w:b/>
        </w:rPr>
        <w:t xml:space="preserve">4.   </w:t>
      </w:r>
      <w:r>
        <w:rPr>
          <w:rStyle w:val="Strong"/>
          <w:b w:val="false"/>
          <w:bCs w:val="false"/>
        </w:rPr>
        <w:t>Mihai DP, Nitulescu GM, Ion GND, Ciotu CI, Chirita C, Negres S. Computational Drug Repurposing Algorithm Targeting TRPA1 Calcium Channel as a Potential Therapeutic Solution for Multiple Sclerosis. Pharmaceutics. 2019;11(9):446. DOI: 10.3390/pharmaceutics11090446.</w:t>
      </w:r>
      <w:r>
        <w:rPr>
          <w:b w:val="false"/>
          <w:bCs w:val="false"/>
        </w:rPr>
        <w:br/>
      </w:r>
      <w:r>
        <w:rPr>
          <w:rStyle w:val="Strong"/>
          <w:b w:val="false"/>
          <w:bCs w:val="false"/>
          <w:i/>
          <w:iCs/>
          <w:sz w:val="24"/>
          <w:szCs w:val="24"/>
        </w:rPr>
        <w:t>Цитуємо:</w:t>
      </w:r>
      <w:r>
        <w:rPr>
          <w:b w:val="false"/>
          <w:bCs w:val="false"/>
          <w:i/>
          <w:iCs/>
          <w:sz w:val="24"/>
          <w:szCs w:val="24"/>
        </w:rPr>
        <w:t xml:space="preserve"> </w:t>
      </w:r>
      <w:r>
        <w:rPr>
          <w:i/>
          <w:iCs/>
          <w:sz w:val="24"/>
          <w:szCs w:val="24"/>
        </w:rPr>
        <w:t xml:space="preserve">як попередню QSAR-роботу безпосередньо на human TRPA1 inhibitors, у якій використано ChEMBL-дані, classification/regression QSAR та molecular docking для прогнозування TRPA1-антагоністів. </w:t>
      </w:r>
    </w:p>
    <w:p>
      <w:pPr>
        <w:pStyle w:val="Normal"/>
        <w:bidi w:val="0"/>
        <w:spacing w:before="0" w:after="60"/>
        <w:ind w:hanging="425" w:start="425"/>
        <w:jc w:val="start"/>
        <w:rPr/>
      </w:pPr>
      <w:r>
        <w:rPr>
          <w:b/>
        </w:rPr>
        <w:t xml:space="preserve">5. </w:t>
      </w:r>
      <w:r>
        <w:rPr/>
        <w:t>Gaulton A, Hersey A, Nowotka M, Bento AP, Chambers J, Mendez D, Mutowo P, Atkinson F, Bellis LJ, Cibrian-Uhalte E, Davies M, Dedman N, Karlsson A, Magarinos MP, Overington JP, Papadatos G, Smit I, Leach AR. The ChEMBL database in 2017. Nucleic Acids Res. 2017;45(D1):D945-D954. DOI: 10.1093/nar/gkw1074.</w:t>
      </w:r>
    </w:p>
    <w:p>
      <w:pPr>
        <w:pStyle w:val="Normal"/>
        <w:bidi w:val="0"/>
        <w:spacing w:lineRule="auto" w:line="276" w:before="0" w:after="160"/>
        <w:ind w:start="425"/>
        <w:jc w:val="start"/>
        <w:rPr/>
      </w:pPr>
      <w:r>
        <w:rPr>
          <w:i/>
          <w:sz w:val="24"/>
        </w:rPr>
        <w:t>Цитуємо для опису ChEMBL як відкритої курованої бази хімічних структур, біоактивності та пов’язаних експериментальних метаданих.</w:t>
      </w:r>
    </w:p>
    <w:p>
      <w:pPr>
        <w:pStyle w:val="Normal"/>
        <w:bidi w:val="0"/>
        <w:spacing w:before="0" w:after="60"/>
        <w:ind w:hanging="425" w:start="425"/>
        <w:jc w:val="start"/>
        <w:rPr/>
      </w:pPr>
      <w:r>
        <w:rPr>
          <w:b/>
        </w:rPr>
        <w:t xml:space="preserve">6. </w:t>
      </w:r>
      <w:r>
        <w:rPr/>
        <w:t>Bento AP, Hersey A, Felix E, Landrum G, Gaulton A, Atkinson F, Bellis LJ, De Veij M, Leach AR. An open source chemical structure curation pipeline using RDKit. J Cheminform. 2020;12(1):51. DOI: 10.1186/s13321-020-00456-1.</w:t>
      </w:r>
    </w:p>
    <w:p>
      <w:pPr>
        <w:pStyle w:val="Normal"/>
        <w:bidi w:val="0"/>
        <w:spacing w:lineRule="auto" w:line="276" w:before="0" w:after="160"/>
        <w:ind w:start="425"/>
        <w:jc w:val="start"/>
        <w:rPr/>
      </w:pPr>
      <w:r>
        <w:rPr>
          <w:i/>
          <w:sz w:val="24"/>
        </w:rPr>
        <w:t>Цитуємо для обґрунтування використання RDKit і принципів відтворюваної стандартизації та курації молекулярних структур.</w:t>
      </w:r>
    </w:p>
    <w:p>
      <w:pPr>
        <w:pStyle w:val="Normal"/>
        <w:bidi w:val="0"/>
        <w:spacing w:before="0" w:after="60"/>
        <w:ind w:hanging="425" w:start="425"/>
        <w:jc w:val="start"/>
        <w:rPr/>
      </w:pPr>
      <w:r>
        <w:rPr>
          <w:b/>
        </w:rPr>
        <w:t xml:space="preserve">7. </w:t>
      </w:r>
      <w:r>
        <w:rPr/>
        <w:t>Rogers D, Hahn M. Extended-connectivity fingerprints. J Chem Inf Model. 2010;50(5):742-754. DOI: 10.1021/ci100050t.</w:t>
      </w:r>
    </w:p>
    <w:p>
      <w:pPr>
        <w:pStyle w:val="Normal"/>
        <w:bidi w:val="0"/>
        <w:spacing w:lineRule="auto" w:line="276" w:before="0" w:after="160"/>
        <w:ind w:start="425"/>
        <w:jc w:val="start"/>
        <w:rPr/>
      </w:pPr>
      <w:r>
        <w:rPr>
          <w:i/>
          <w:sz w:val="24"/>
        </w:rPr>
        <w:t>Цитуємо як первинне методичне джерело для extended-connectivity fingerprints, до яких належать використані Morgan ECFP4.</w:t>
      </w:r>
    </w:p>
    <w:p>
      <w:pPr>
        <w:pStyle w:val="Normal"/>
        <w:bidi w:val="0"/>
        <w:spacing w:before="0" w:after="60"/>
        <w:ind w:hanging="425" w:start="425"/>
        <w:jc w:val="start"/>
        <w:rPr/>
      </w:pPr>
      <w:r>
        <w:rPr>
          <w:b/>
        </w:rPr>
        <w:t xml:space="preserve">8. </w:t>
      </w:r>
      <w:r>
        <w:rPr/>
        <w:t>Chen T, Guestrin C. XGBoost: a scalable tree boosting system. In: Proceedings of the 22nd ACM SIGKDD International Conference on Knowledge Discovery and Data Mining (KDD '16). New York: ACM; 2016. p. 785-794. DOI: 10.1145/2939672.2939785.</w:t>
      </w:r>
    </w:p>
    <w:p>
      <w:pPr>
        <w:pStyle w:val="Normal"/>
        <w:bidi w:val="0"/>
        <w:spacing w:lineRule="auto" w:line="276" w:before="0" w:after="160"/>
        <w:ind w:start="425"/>
        <w:jc w:val="start"/>
        <w:rPr/>
      </w:pPr>
      <w:r>
        <w:rPr>
          <w:i/>
          <w:sz w:val="24"/>
        </w:rPr>
        <w:t>Цитуємо як первинне методичне джерело для алгоритму XGBoost; це конференційна публікація, тому окремого журнального тому їй не присвоєно.</w:t>
      </w:r>
    </w:p>
    <w:p>
      <w:pPr>
        <w:pStyle w:val="Normal"/>
        <w:bidi w:val="0"/>
        <w:spacing w:before="0" w:after="60"/>
        <w:ind w:hanging="425" w:start="425"/>
        <w:jc w:val="start"/>
        <w:rPr/>
      </w:pPr>
      <w:r>
        <w:rPr>
          <w:b/>
        </w:rPr>
        <w:t xml:space="preserve">9. </w:t>
      </w:r>
      <w:r>
        <w:rPr/>
        <w:t>Yang K, Swanson K, Jin W, Coley CW, Eiden P, Gao H, Guzman-Perez A, Hopper T, Kelley B, Mathea M, Palmer A, Settels V, Jaakkola T, Jensen KF, Barzilay R. Analyzing learned molecular representations for property prediction. J Chem Inf Model. 2019;59(8):3370-3388. DOI: 10.1021/acs.jcim.9b00237.</w:t>
      </w:r>
    </w:p>
    <w:p>
      <w:pPr>
        <w:pStyle w:val="Normal"/>
        <w:bidi w:val="0"/>
        <w:spacing w:lineRule="auto" w:line="276" w:before="0" w:after="160"/>
        <w:ind w:start="425"/>
        <w:jc w:val="start"/>
        <w:rPr/>
      </w:pPr>
      <w:r>
        <w:rPr>
          <w:i/>
          <w:sz w:val="24"/>
        </w:rPr>
        <w:t>Цитуємо для зіставлення learned molecular representations із fingerprint- і descriptor-базованими моделями та для контексту перенесення прогнозу на структурно відмінні молекули.</w:t>
      </w:r>
    </w:p>
    <w:p>
      <w:pPr>
        <w:pStyle w:val="Normal"/>
        <w:bidi w:val="0"/>
        <w:spacing w:before="0" w:after="60"/>
        <w:ind w:hanging="425" w:start="425"/>
        <w:jc w:val="start"/>
        <w:rPr/>
      </w:pPr>
      <w:r>
        <w:rPr>
          <w:b/>
        </w:rPr>
        <w:t xml:space="preserve">10. </w:t>
      </w:r>
      <w:r>
        <w:rPr/>
        <w:t>Wu Z, Ramsundar B, Feinberg EN, Gomes J, Geniesse C, Pappu AS, Leswing K, Pande V. MoleculeNet: a benchmark for molecular machine learning. Chem Sci. 2018;9(2):513-530. DOI: 10.1039/C7SC02664A.</w:t>
      </w:r>
    </w:p>
    <w:p>
      <w:pPr>
        <w:pStyle w:val="Normal"/>
        <w:bidi w:val="0"/>
        <w:spacing w:lineRule="auto" w:line="276" w:before="0" w:after="160"/>
        <w:ind w:start="425"/>
        <w:jc w:val="start"/>
        <w:rPr/>
      </w:pPr>
      <w:r>
        <w:rPr>
          <w:i/>
          <w:sz w:val="24"/>
        </w:rPr>
        <w:t>Цитуємо як стандартний benchmark молекулярного машинного навчання, що порівнює різні представлення й алгоритми та рекомендує scaffold split для реалістичнішої оцінки узагальнення.</w:t>
      </w:r>
    </w:p>
    <w:p>
      <w:pPr>
        <w:pStyle w:val="Normal"/>
        <w:bidi w:val="0"/>
        <w:spacing w:before="0" w:after="60"/>
        <w:ind w:hanging="425" w:start="425"/>
        <w:jc w:val="start"/>
        <w:rPr/>
      </w:pPr>
      <w:r>
        <w:rPr>
          <w:b/>
        </w:rPr>
        <w:t xml:space="preserve">11. </w:t>
      </w:r>
      <w:r>
        <w:rPr/>
        <w:t>Rollins ZA, Cheng AC, Metwally E. MolPROP: Molecular Property prediction with multimodal language and graph fusion. J Cheminform. 2024;16(1):56. DOI: 10.1186/s13321-024-00846-9.</w:t>
      </w:r>
    </w:p>
    <w:p>
      <w:pPr>
        <w:pStyle w:val="Normal"/>
        <w:bidi w:val="0"/>
        <w:spacing w:lineRule="auto" w:line="276" w:before="0" w:after="160"/>
        <w:ind w:start="425"/>
        <w:jc w:val="start"/>
        <w:rPr/>
      </w:pPr>
      <w:r>
        <w:rPr>
          <w:i/>
          <w:sz w:val="24"/>
        </w:rPr>
        <w:t>Цитуємо для маркера про сучасні pretrained molecular language representations, оскільки робота порівнює ChemBERTa-2, графові моделі та fingerprint-базовані контроли на scaffold-split наборах, включно з регресійними задачами.</w:t>
      </w:r>
    </w:p>
    <w:p>
      <w:pPr>
        <w:pStyle w:val="Normal"/>
        <w:bidi w:val="0"/>
        <w:spacing w:before="0" w:after="60"/>
        <w:ind w:hanging="425" w:start="425"/>
        <w:jc w:val="start"/>
        <w:rPr/>
      </w:pPr>
      <w:r>
        <w:rPr>
          <w:b/>
        </w:rPr>
        <w:t xml:space="preserve">12. </w:t>
      </w:r>
      <w:r>
        <w:rPr/>
        <w:t>Landrum GA, Riniker S. Combining IC50 or Ki values from different sources is a source of significant noise. J Chem Inf Model. 2024;64(5):1560-1567. DOI: 10.1021/acs.jcim.4c00049.</w:t>
      </w:r>
    </w:p>
    <w:p>
      <w:pPr>
        <w:pStyle w:val="Normal"/>
        <w:bidi w:val="0"/>
        <w:spacing w:lineRule="auto" w:line="276" w:before="0" w:after="160"/>
        <w:ind w:start="425"/>
        <w:jc w:val="start"/>
        <w:rPr/>
      </w:pPr>
      <w:r>
        <w:rPr>
          <w:i/>
          <w:sz w:val="24"/>
        </w:rPr>
        <w:t>Цитуємо для обговорення шуму, що виникає при об’єднанні IC50 або Ki з різних літературних assays, та для інтерпретації аналізу розбіжності pIC50.</w:t>
      </w:r>
    </w:p>
    <w:p>
      <w:pPr>
        <w:pStyle w:val="Normal"/>
        <w:bidi w:val="0"/>
        <w:spacing w:before="0" w:after="60"/>
        <w:ind w:hanging="425" w:start="425"/>
        <w:jc w:val="start"/>
        <w:rPr/>
      </w:pPr>
      <w:r>
        <w:rPr>
          <w:b/>
        </w:rPr>
        <w:t xml:space="preserve">13. </w:t>
      </w:r>
      <w:r>
        <w:rPr/>
        <w:t>Schoenmaker L, Sastrokarijo EG, Heitman LH, Beltman JB, Jespers W, van Westen GJP. Toward assay-aware bioactivity model(er)s: getting a grip on biological context. J Chem Inf Model. 2025;65(13):7013-7023. DOI: 10.1021/acs.jcim.5c00603.</w:t>
      </w:r>
    </w:p>
    <w:p>
      <w:pPr>
        <w:pStyle w:val="Normal"/>
        <w:bidi w:val="0"/>
        <w:spacing w:lineRule="auto" w:line="276" w:before="0" w:after="160"/>
        <w:ind w:start="425"/>
        <w:jc w:val="start"/>
        <w:rPr/>
      </w:pPr>
      <w:r>
        <w:rPr>
          <w:i/>
          <w:sz w:val="24"/>
        </w:rPr>
        <w:t>Цитуємо для загального обґрунтування того, що біологічний та протокольний контекст assay впливає на інтерпретацію й моделювання вимірюваної біоактивності.</w:t>
      </w:r>
    </w:p>
    <w:p>
      <w:pPr>
        <w:pStyle w:val="Normal"/>
        <w:bidi w:val="0"/>
        <w:spacing w:before="0" w:after="60"/>
        <w:ind w:hanging="425" w:start="425"/>
        <w:jc w:val="start"/>
        <w:rPr/>
      </w:pPr>
      <w:r>
        <w:rPr>
          <w:b/>
        </w:rPr>
        <w:t xml:space="preserve">14. </w:t>
      </w:r>
      <w:r>
        <w:rPr/>
        <w:t>Wallach I, Heifets A. Most ligand-based classification benchmarks reward memorization rather than generalization. J Chem Inf Model. 2018;58(5):916-932. DOI: 10.1021/acs.jcim.7b00403.</w:t>
      </w:r>
    </w:p>
    <w:p>
      <w:pPr>
        <w:pStyle w:val="Normal"/>
        <w:bidi w:val="0"/>
        <w:spacing w:lineRule="auto" w:line="276" w:before="0" w:after="160"/>
        <w:ind w:start="425"/>
        <w:jc w:val="start"/>
        <w:rPr/>
      </w:pPr>
      <w:r>
        <w:rPr>
          <w:i/>
          <w:sz w:val="24"/>
        </w:rPr>
        <w:t>Цитуємо для маркерів про benchmark bias, запам’ятовування близьких структур замість узагальнення та ризик оптимістичних оцінок ligand-based classification.</w:t>
      </w:r>
    </w:p>
    <w:p>
      <w:pPr>
        <w:pStyle w:val="Normal"/>
        <w:bidi w:val="0"/>
        <w:spacing w:before="0" w:after="60"/>
        <w:ind w:hanging="425" w:start="425"/>
        <w:jc w:val="start"/>
        <w:rPr/>
      </w:pPr>
      <w:r>
        <w:rPr>
          <w:b/>
        </w:rPr>
        <w:t xml:space="preserve">15. </w:t>
      </w:r>
      <w:r>
        <w:rPr/>
        <w:t>Mysinger MM, Carchia M, Irwin JJ, Shoichet BK. Directory of useful decoys, enhanced (DUD-E): better ligands and decoys for better benchmarking. J Med Chem. 2012;55(14):6582-6594. DOI: 10.1021/jm300687e.</w:t>
      </w:r>
    </w:p>
    <w:p>
      <w:pPr>
        <w:pStyle w:val="Normal"/>
        <w:bidi w:val="0"/>
        <w:spacing w:lineRule="auto" w:line="276" w:before="0" w:after="160"/>
        <w:ind w:start="425"/>
        <w:jc w:val="start"/>
        <w:rPr/>
      </w:pPr>
      <w:r>
        <w:rPr>
          <w:i/>
          <w:sz w:val="24"/>
        </w:rPr>
        <w:t>Цитуємо для пояснення необхідності property-matched і топологічно відмінних decoys та ризику завищення метрик при використанні випадкових unmatched decoys.</w:t>
      </w:r>
    </w:p>
    <w:p>
      <w:pPr>
        <w:pStyle w:val="Normal"/>
        <w:bidi w:val="0"/>
        <w:spacing w:before="0" w:after="60"/>
        <w:ind w:hanging="425" w:start="425"/>
        <w:jc w:val="start"/>
        <w:rPr/>
      </w:pPr>
      <w:r>
        <w:rPr>
          <w:b/>
        </w:rPr>
        <w:t xml:space="preserve">16. </w:t>
      </w:r>
      <w:r>
        <w:rPr/>
        <w:t>Zurborg S, Yurgionas B, Jira JA, Caspani O, Heppenstall PA. Direct activation of the ion channel TRPA1 by Ca2+. Nat Neurosci. 2007;10(3):277-279. DOI: 10.1038/nn1843.</w:t>
      </w:r>
    </w:p>
    <w:p>
      <w:pPr>
        <w:pStyle w:val="Normal"/>
        <w:bidi w:val="0"/>
        <w:spacing w:lineRule="auto" w:line="276" w:before="0" w:after="160"/>
        <w:ind w:start="425"/>
        <w:jc w:val="start"/>
        <w:rPr/>
      </w:pPr>
      <w:r>
        <w:rPr>
          <w:i/>
          <w:sz w:val="24"/>
        </w:rPr>
        <w:t>Цитуємо як первинний доказ прямої Ca2+-залежної активації й регуляції human TRPA1.</w:t>
      </w:r>
    </w:p>
    <w:p>
      <w:pPr>
        <w:pStyle w:val="Normal"/>
        <w:bidi w:val="0"/>
        <w:spacing w:before="0" w:after="60"/>
        <w:ind w:hanging="425" w:start="425"/>
        <w:jc w:val="start"/>
        <w:rPr/>
      </w:pPr>
      <w:r>
        <w:rPr>
          <w:b/>
        </w:rPr>
        <w:t xml:space="preserve">17. </w:t>
      </w:r>
      <w:r>
        <w:rPr/>
        <w:t>Akopian AN, Ruparel NB, Jeske NA, Hargreaves KM. Transient receptor potential TRPA1 channel desensitization in sensory neurons is agonist dependent and regulated by TRPV1-directed internalization. J Physiol. 2007;583(Pt 1):175-193. DOI: 10.1113/jphysiol.2007.133231.</w:t>
      </w:r>
    </w:p>
    <w:p>
      <w:pPr>
        <w:pStyle w:val="Normal"/>
        <w:bidi w:val="0"/>
        <w:spacing w:lineRule="auto" w:line="276" w:before="0" w:after="160"/>
        <w:ind w:start="425"/>
        <w:jc w:val="start"/>
        <w:rPr/>
      </w:pPr>
      <w:r>
        <w:rPr>
          <w:i/>
          <w:sz w:val="24"/>
        </w:rPr>
        <w:t>Цитуємо як первинне джерело для агоніст-залежної гомологічної та гетерологічної десенситизації TRPA1 і її Ca2+-залежних механізмів.</w:t>
      </w:r>
    </w:p>
    <w:p>
      <w:pPr>
        <w:pStyle w:val="Normal"/>
        <w:bidi w:val="0"/>
        <w:spacing w:before="0" w:after="60"/>
        <w:ind w:hanging="425" w:start="425"/>
        <w:jc w:val="start"/>
        <w:rPr/>
      </w:pPr>
      <w:r>
        <w:rPr>
          <w:b/>
        </w:rPr>
        <w:t xml:space="preserve">18. </w:t>
      </w:r>
      <w:r>
        <w:rPr/>
        <w:t>McClenaghan C, Zeng F, Verkuyl JM. TRPA1 agonist activity of probenecid desensitizes channel responses: consequences for screening. Assay Drug Dev Technol. 2012;10(6):533-541. DOI: 10.1089/adt.2012.447.</w:t>
      </w:r>
    </w:p>
    <w:p>
      <w:pPr>
        <w:pStyle w:val="Normal"/>
        <w:bidi w:val="0"/>
        <w:spacing w:lineRule="auto" w:line="276" w:before="0" w:after="160"/>
        <w:ind w:start="425"/>
        <w:jc w:val="start"/>
        <w:rPr/>
      </w:pPr>
      <w:r>
        <w:rPr>
          <w:i/>
          <w:sz w:val="24"/>
        </w:rPr>
        <w:t>Цитуємо для підтвердження того, що порядок і тривалість експозиції можуть змінювати TRPA1-відповідь і створювати суттєві наслідки для скринінгових assay.</w:t>
      </w:r>
    </w:p>
    <w:p>
      <w:pPr>
        <w:pStyle w:val="Normal"/>
        <w:bidi w:val="0"/>
        <w:spacing w:before="0" w:after="60"/>
        <w:ind w:hanging="425" w:start="425"/>
        <w:jc w:val="start"/>
        <w:rPr/>
      </w:pPr>
      <w:r>
        <w:rPr>
          <w:b/>
        </w:rPr>
        <w:t xml:space="preserve">19. </w:t>
      </w:r>
      <w:r>
        <w:rPr/>
        <w:t>Sheridan RP. Three useful dimensions for domain applicability in QSAR models using random forest. J Chem Inf Model. 2012;52(3):814-823. DOI: 10.1021/ci300004n.</w:t>
      </w:r>
    </w:p>
    <w:p>
      <w:pPr>
        <w:pStyle w:val="Normal"/>
        <w:bidi w:val="0"/>
        <w:spacing w:lineRule="auto" w:line="276" w:before="0" w:after="160"/>
        <w:ind w:start="425"/>
        <w:jc w:val="start"/>
        <w:rPr/>
      </w:pPr>
      <w:r>
        <w:rPr>
          <w:i/>
          <w:sz w:val="24"/>
        </w:rPr>
        <w:t>Цитуємо як методичне джерело для використання подібності прогнозованої молекули до навчальних сполук, зокрема nearest-neighbor similarity, як індикатора області застосовності QSAR.</w:t>
      </w:r>
    </w:p>
    <w:p>
      <w:pPr>
        <w:pStyle w:val="Normal"/>
        <w:bidi w:val="0"/>
        <w:spacing w:before="0" w:after="60"/>
        <w:ind w:hanging="425" w:start="425"/>
        <w:jc w:val="start"/>
        <w:rPr/>
      </w:pPr>
      <w:r>
        <w:rPr>
          <w:b/>
        </w:rPr>
        <w:t xml:space="preserve">20. </w:t>
      </w:r>
      <w:r>
        <w:rPr/>
        <w:t>Sheridan RP. Time-split cross-validation as a method for estimating the goodness of prospective prediction. J Chem Inf Model. 2013;53(4):783-790. DOI: 10.1021/ci400084k.</w:t>
      </w:r>
    </w:p>
    <w:p>
      <w:pPr>
        <w:pStyle w:val="Normal"/>
        <w:bidi w:val="0"/>
        <w:spacing w:lineRule="auto" w:line="276" w:before="0" w:after="160"/>
        <w:ind w:start="425"/>
        <w:jc w:val="start"/>
        <w:rPr/>
      </w:pPr>
      <w:r>
        <w:rPr>
          <w:i/>
          <w:sz w:val="24"/>
        </w:rPr>
        <w:t>Цитуємо для розмежування оптимістичної випадкової валідації та складніших сценаріїв prospective extrapolation, а також для контексту інтерполяції в межах відомих серій проти перенесення на новий хімічний простір.</w:t>
      </w:r>
    </w:p>
    <w:p>
      <w:pPr>
        <w:pStyle w:val="Normal"/>
        <w:widowControl/>
        <w:bidi w:val="0"/>
        <w:spacing w:lineRule="auto" w:line="360" w:before="0" w:after="0"/>
        <w:ind w:hanging="0" w:start="0"/>
        <w:jc w:val="both"/>
        <w:rPr>
          <w:rFonts w:eastAsia="Times New Roman"/>
          <w:lang w:val="uk-UA" w:eastAsia="uk-UA"/>
        </w:rPr>
      </w:pPr>
      <w:r>
        <w:rPr>
          <w:rFonts w:eastAsia="Times New Roman"/>
          <w:lang w:val="uk-UA" w:eastAsia="uk-UA"/>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uk-UA" w:eastAsia="zh-CN" w:bidi="hi-IN"/>
    </w:rPr>
  </w:style>
  <w:style w:type="paragraph" w:styleId="Heading1">
    <w:name w:val="heading 1"/>
    <w:basedOn w:val="Normal"/>
    <w:next w:val="BodyText"/>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val="4F81BD"/>
      <w:sz w:val="32"/>
      <w:szCs w:val="32"/>
    </w:rPr>
  </w:style>
  <w:style w:type="paragraph" w:styleId="Heading2">
    <w:name w:val="heading 2"/>
    <w:basedOn w:val="Normal"/>
    <w:next w:val="BodyText"/>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8"/>
      <w:szCs w:val="28"/>
    </w:rPr>
  </w:style>
  <w:style w:type="paragraph" w:styleId="Heading3">
    <w:name w:val="heading 3"/>
    <w:basedOn w:val="Normal"/>
    <w:next w:val="BodyText"/>
    <w:qFormat/>
    <w:pPr>
      <w:keepNext w:val="true"/>
      <w:keepLines/>
      <w:spacing w:before="200" w:after="0"/>
      <w:outlineLvl w:val="2"/>
    </w:pPr>
    <w:rPr>
      <w:rFonts w:ascii="Arial" w:hAnsi="Arial" w:eastAsia="DejaVu Sans" w:cs="DejaVu Sans" w:asciiTheme="majorHAnsi" w:cstheme="majorBidi" w:eastAsiaTheme="majorEastAsia" w:hAnsiTheme="majorHAnsi"/>
      <w:b/>
      <w:bCs/>
      <w:color w:themeColor="accent1" w:val="4F81BD"/>
      <w:sz w:val="24"/>
      <w:szCs w:val="24"/>
    </w:rPr>
  </w:style>
  <w:style w:type="character" w:styleId="DefaultParagraphFont">
    <w:name w:val="Default Paragraph Font"/>
    <w:qFormat/>
    <w:rPr/>
  </w:style>
  <w:style w:type="character" w:styleId="BodyTextChar">
    <w:name w:val="Body Text Char"/>
    <w:basedOn w:val="DefaultParagraphFont"/>
    <w:qFormat/>
    <w:rPr/>
  </w:style>
  <w:style w:type="character" w:styleId="VerbatimChar">
    <w:name w:val="Verbatim Char"/>
    <w:basedOn w:val="BodyTextChar"/>
    <w:qFormat/>
    <w:rPr>
      <w:rFonts w:ascii="Consolas" w:hAnsi="Consolas"/>
      <w:sz w:val="22"/>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Text">
    <w:name w:val="Block Text"/>
    <w:basedOn w:val="BodyText"/>
    <w:next w:val="BodyText"/>
    <w:qFormat/>
    <w:pPr>
      <w:spacing w:before="100" w:after="100"/>
      <w:ind w:hanging="0" w:start="480" w:end="480"/>
    </w:pPr>
    <w:rPr/>
  </w:style>
  <w:style w:type="paragraph" w:styleId="FirstParagraph">
    <w:name w:val="First Paragraph"/>
    <w:basedOn w:val="BodyText"/>
    <w:next w:val="BodyText"/>
    <w:qFormat/>
    <w:pPr/>
    <w:rPr/>
  </w:style>
  <w:style w:type="paragraph" w:styleId="ManuscriptTitle">
    <w:name w:val="Manuscript Title"/>
    <w:qFormat/>
    <w:pPr>
      <w:keepNext w:val="true"/>
      <w:widowControl/>
      <w:suppressAutoHyphens w:val="true"/>
      <w:bidi w:val="0"/>
      <w:spacing w:lineRule="auto" w:line="360" w:before="0" w:after="240"/>
      <w:jc w:val="center"/>
    </w:pPr>
    <w:rPr>
      <w:rFonts w:ascii="Times New Roman" w:hAnsi="Times New Roman" w:eastAsia="Times New Roman" w:cs="Lucida Sans"/>
      <w:b/>
      <w:color w:val="auto"/>
      <w:kern w:val="2"/>
      <w:sz w:val="28"/>
      <w:szCs w:val="24"/>
      <w:lang w:val="uk-UA" w:eastAsia="zh-CN" w:bidi="hi-IN"/>
    </w:rPr>
  </w:style>
  <w:style w:type="paragraph" w:styleId="ManuscriptSubheading">
    <w:name w:val="Manuscript Subheading"/>
    <w:qFormat/>
    <w:pPr>
      <w:keepNext w:val="true"/>
      <w:widowControl/>
      <w:suppressAutoHyphens w:val="true"/>
      <w:bidi w:val="0"/>
      <w:spacing w:lineRule="auto" w:line="360" w:before="200" w:after="0"/>
      <w:ind w:hanging="0"/>
      <w:jc w:val="start"/>
    </w:pPr>
    <w:rPr>
      <w:rFonts w:ascii="Times New Roman" w:hAnsi="Times New Roman" w:eastAsia="Times New Roman" w:cs="Lucida Sans"/>
      <w:b/>
      <w:color w:val="auto"/>
      <w:kern w:val="2"/>
      <w:sz w:val="28"/>
      <w:szCs w:val="24"/>
      <w:lang w:val="uk-UA"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1782</TotalTime>
  <Application>LibreOffice/26.2.5.2$Windows_X86_64 LibreOffice_project/cd7284b4cbbfeb507e630c1aac019f4157393acb</Application>
  <AppVersion>15.0000</AppVersion>
  <Pages>20</Pages>
  <Words>5548</Words>
  <Characters>41464</Characters>
  <CharactersWithSpaces>46802</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2026-08-28T14:57:17Z</dcterms:created>
  <dc:creator/>
  <dc:description/>
  <dc:language>uk-UA</dc:language>
  <cp:lastModifiedBy/>
  <dcterms:modified xsi:type="dcterms:W3CDTF">2026-08-31T13:19:41Z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