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i w:val="0"/>
          <w:sz w:val="32"/>
        </w:rPr>
        <w:t>МАТЕРІАЛИ ТА МЕТОДИ</w:t>
      </w:r>
    </w:p>
    <w:p>
      <w:pPr>
        <w:spacing w:before="80" w:after="160"/>
        <w:ind w:left="340" w:right="340" w:firstLine="0"/>
      </w:pPr>
      <w:r>
        <w:rPr>
          <w:rFonts w:ascii="Times New Roman" w:hAnsi="Times New Roman" w:eastAsia="Times New Roman"/>
          <w:i/>
          <w:color w:val="595959"/>
          <w:sz w:val="22"/>
        </w:rPr>
        <w:t xml:space="preserve">Версія для аудиту джерел. Позначки </w:t>
      </w:r>
      <w:r>
        <w:rPr>
          <w:rFonts w:ascii="Times New Roman" w:hAnsi="Times New Roman" w:eastAsia="Times New Roman"/>
          <w:i/>
          <w:color w:val="1F4E79"/>
          <w:sz w:val="18"/>
        </w:rPr>
        <w:t>[PROJECT SOURCE: …]</w:t>
      </w:r>
      <w:r>
        <w:rPr>
          <w:rFonts w:ascii="Times New Roman" w:hAnsi="Times New Roman" w:eastAsia="Times New Roman"/>
          <w:i/>
          <w:color w:val="595959"/>
          <w:sz w:val="22"/>
        </w:rPr>
        <w:t xml:space="preserve"> вказують на конкретні файли репозиторію, з яких узято методичне твердження. Позначки </w:t>
      </w:r>
      <w:r>
        <w:rPr>
          <w:rFonts w:ascii="Times New Roman" w:hAnsi="Times New Roman" w:eastAsia="Times New Roman"/>
          <w:b/>
          <w:color w:val="C00000"/>
          <w:sz w:val="18"/>
        </w:rPr>
        <w:t>[SOURCE NEEDED: …]</w:t>
      </w:r>
      <w:r>
        <w:rPr>
          <w:rFonts w:ascii="Times New Roman" w:hAnsi="Times New Roman" w:eastAsia="Times New Roman"/>
          <w:i/>
          <w:color w:val="595959"/>
          <w:sz w:val="22"/>
        </w:rPr>
        <w:t xml:space="preserve"> означають, що відповідне твердження не слід залишати у фінальному рукописі без додаткового підтвердження.</w:t>
      </w:r>
    </w:p>
    <w:p>
      <w:pPr>
        <w:pStyle w:val="Heading1"/>
      </w:pPr>
      <w:r>
        <w:rPr>
          <w:rFonts w:ascii="Times New Roman" w:hAnsi="Times New Roman" w:eastAsia="Times New Roman"/>
          <w:i w:val="0"/>
          <w:sz w:val="28"/>
        </w:rPr>
        <w:t>Дизайн дослідження</w:t>
      </w:r>
    </w:p>
    <w:p>
      <w:r>
        <w:rPr>
          <w:rFonts w:ascii="Times New Roman" w:hAnsi="Times New Roman" w:eastAsia="Times New Roman"/>
          <w:i w:val="0"/>
          <w:sz w:val="28"/>
        </w:rPr>
        <w:t>Проведено ретроспективне обчислювальне дослідження, у якому за молекулярною структурою прогнозували агреговане значення інгібувальної активності сполук щодо TRPA1 людини. Основною задачею була регресія для сполук із хімічними каркасами, відсутніми в навчальній частині даних. Окремо оцінювали зв’язок похибки прогнозу з розбіжністю опублікованих значень, хімічною віддаленістю тестової сполуки від навчальної вибірки та способом поділу даних.</w:t>
      </w:r>
    </w:p>
    <w:p>
      <w:pPr>
        <w:spacing w:line="240" w:lineRule="auto" w:after="100"/>
        <w:ind w:firstLine="0"/>
      </w:pPr>
      <w:r>
        <w:rPr>
          <w:rFonts w:ascii="Times New Roman" w:hAnsi="Times New Roman" w:eastAsia="Times New Roman"/>
          <w:i/>
          <w:color w:val="1F4E79"/>
          <w:sz w:val="18"/>
        </w:rPr>
        <w:t>[PROJECT SOURCE: STATUS.md; docs/paper_plan.md; results/tables/grid_final_metadata_20260801-152155.json; scripts/analyze_h1_h5.py]</w:t>
      </w:r>
    </w:p>
    <w:p>
      <w:pPr>
        <w:pStyle w:val="Heading1"/>
      </w:pPr>
      <w:r>
        <w:rPr>
          <w:rFonts w:ascii="Times New Roman" w:hAnsi="Times New Roman" w:eastAsia="Times New Roman"/>
          <w:i w:val="0"/>
          <w:sz w:val="28"/>
        </w:rPr>
        <w:t>Джерело даних і критерії відбору</w:t>
      </w:r>
    </w:p>
    <w:p>
      <w:r>
        <w:rPr>
          <w:rFonts w:ascii="Times New Roman" w:hAnsi="Times New Roman" w:eastAsia="Times New Roman"/>
          <w:i w:val="0"/>
          <w:sz w:val="28"/>
        </w:rPr>
        <w:t xml:space="preserve">Дані отримано з бази ChEMBL версії 37, дата релізу якої у метаданих проєкту зафіксована як 1 травня 2026 року. Відбирали записи для мішені CHEMBL6007 (TRPA1 людини) з типом показника IC50, точною рівністю </w:t>
      </w:r>
      <w:r>
        <w:rPr>
          <w:rFonts w:ascii="Courier New" w:hAnsi="Courier New" w:eastAsia="Courier New"/>
          <w:sz w:val="22"/>
        </w:rPr>
        <w:t>standard_relation = "="</w:t>
      </w:r>
      <w:r>
        <w:rPr>
          <w:rFonts w:ascii="Times New Roman" w:hAnsi="Times New Roman" w:eastAsia="Times New Roman"/>
          <w:i w:val="0"/>
          <w:sz w:val="28"/>
        </w:rPr>
        <w:t xml:space="preserve"> та наявним значенням pChEMBL. Заморожена таблиця рівня окремих вимірювань містила 2196 записів; усі збережені стандартизовані значення IC50 були подані в нмоль/л. Документи, з яких походили записи, охоплювали 2010–2025 роки.</w:t>
      </w:r>
    </w:p>
    <w:p>
      <w:pPr>
        <w:spacing w:line="240" w:lineRule="auto" w:after="100"/>
        <w:ind w:firstLine="0"/>
      </w:pPr>
      <w:r>
        <w:rPr>
          <w:rFonts w:ascii="Times New Roman" w:hAnsi="Times New Roman" w:eastAsia="Times New Roman"/>
          <w:i/>
          <w:color w:val="1F4E79"/>
          <w:sz w:val="18"/>
        </w:rPr>
        <w:t>[PROJECT SOURCE: data/raw/trpa1_current_api_metadata.json; data/raw/trpa1_current_api_raw.csv]</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первинна публікація або офіційний опис ChEMBL і визначення поля pChEMBL]</w:t>
      </w:r>
    </w:p>
    <w:p>
      <w:r>
        <w:rPr>
          <w:rFonts w:ascii="Times New Roman" w:hAnsi="Times New Roman" w:eastAsia="Times New Roman"/>
          <w:i w:val="0"/>
          <w:sz w:val="28"/>
        </w:rPr>
        <w:t>Перехід від 2196 записів до 1645 сполук був агрегацією, а не вилученням біологічних тестів. Після стандартизації структури записи з однаковим InChIKey об’єднували в один molecule-level рядок, а цільову змінну визначали як медіану збережених pChEMBL. Отримана таблиця містила 1645 унікальних сполук, що походили з 97 assays і 55 документів ChEMBL. Для кожної сполуки збережено стандартизований SMILES, InChIKey, медіану, мінімум, максимум і стандартне відхилення pChEMBL, число вимірювань та хімічний каркас Bemis–Murcko. У наборі було 544 унікальні хімічні каркаси.</w:t>
      </w:r>
    </w:p>
    <w:p>
      <w:pPr>
        <w:spacing w:line="240" w:lineRule="auto" w:after="100"/>
        <w:ind w:firstLine="0"/>
      </w:pPr>
      <w:r>
        <w:rPr>
          <w:rFonts w:ascii="Times New Roman" w:hAnsi="Times New Roman" w:eastAsia="Times New Roman"/>
          <w:i/>
          <w:color w:val="1F4E79"/>
          <w:sz w:val="18"/>
        </w:rPr>
        <w:t>[PROJECT SOURCE: data/raw/trpa1_current_api_raw.csv; data/processed/trpa1_primary_dataset.csv; data/assays/assay_table.csv; sources/source_registry.csv; results/tables/grid_final_metadata_20260801-152155.json]</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оригінальне джерело для визначення каркасів Bemis–Murcko]</w:t>
      </w:r>
    </w:p>
    <w:p>
      <w:pPr>
        <w:pStyle w:val="Heading2"/>
      </w:pPr>
      <w:r>
        <w:rPr>
          <w:rFonts w:ascii="Times New Roman" w:hAnsi="Times New Roman" w:eastAsia="Times New Roman"/>
          <w:i w:val="0"/>
          <w:sz w:val="28"/>
        </w:rPr>
        <w:t>Пізніший аудит походження assay-записів</w:t>
      </w:r>
    </w:p>
    <w:p>
      <w:r>
        <w:rPr>
          <w:rFonts w:ascii="Times New Roman" w:hAnsi="Times New Roman" w:eastAsia="Times New Roman"/>
          <w:i w:val="0"/>
          <w:sz w:val="28"/>
        </w:rPr>
        <w:t xml:space="preserve">Після завершення основного benchmark усі 97 assays окремо переглянули й класифікували як </w:t>
      </w:r>
      <w:r>
        <w:rPr>
          <w:rFonts w:ascii="Courier New" w:hAnsi="Courier New" w:eastAsia="Courier New"/>
          <w:sz w:val="22"/>
        </w:rPr>
        <w:t>primary</w:t>
      </w:r>
      <w:r>
        <w:rPr>
          <w:rFonts w:ascii="Times New Roman" w:hAnsi="Times New Roman" w:eastAsia="Times New Roman"/>
          <w:i w:val="0"/>
          <w:sz w:val="28"/>
        </w:rPr>
        <w:t xml:space="preserve"> (76 assays), </w:t>
      </w:r>
      <w:r>
        <w:rPr>
          <w:rFonts w:ascii="Courier New" w:hAnsi="Courier New" w:eastAsia="Courier New"/>
          <w:sz w:val="22"/>
        </w:rPr>
        <w:t>sensitivity</w:t>
      </w:r>
      <w:r>
        <w:rPr>
          <w:rFonts w:ascii="Times New Roman" w:hAnsi="Times New Roman" w:eastAsia="Times New Roman"/>
          <w:i w:val="0"/>
          <w:sz w:val="28"/>
        </w:rPr>
        <w:t xml:space="preserve"> (9 assays) або </w:t>
      </w:r>
      <w:r>
        <w:rPr>
          <w:rFonts w:ascii="Courier New" w:hAnsi="Courier New" w:eastAsia="Courier New"/>
          <w:sz w:val="22"/>
        </w:rPr>
        <w:t>excluded</w:t>
      </w:r>
      <w:r>
        <w:rPr>
          <w:rFonts w:ascii="Times New Roman" w:hAnsi="Times New Roman" w:eastAsia="Times New Roman"/>
          <w:i w:val="0"/>
          <w:sz w:val="28"/>
        </w:rPr>
        <w:t xml:space="preserve"> (12 assays). При зіставленні цієї класифікації з 2196 записами початкового benchmark 1953 записи належали до </w:t>
      </w:r>
      <w:r>
        <w:rPr>
          <w:rFonts w:ascii="Courier New" w:hAnsi="Courier New" w:eastAsia="Courier New"/>
          <w:sz w:val="22"/>
        </w:rPr>
        <w:t>primary</w:t>
      </w:r>
      <w:r>
        <w:rPr>
          <w:rFonts w:ascii="Times New Roman" w:hAnsi="Times New Roman" w:eastAsia="Times New Roman"/>
          <w:i w:val="0"/>
          <w:sz w:val="28"/>
        </w:rPr>
        <w:t xml:space="preserve">, 216 — до </w:t>
      </w:r>
      <w:r>
        <w:rPr>
          <w:rFonts w:ascii="Courier New" w:hAnsi="Courier New" w:eastAsia="Courier New"/>
          <w:sz w:val="22"/>
        </w:rPr>
        <w:t>sensitivity</w:t>
      </w:r>
      <w:r>
        <w:rPr>
          <w:rFonts w:ascii="Times New Roman" w:hAnsi="Times New Roman" w:eastAsia="Times New Roman"/>
          <w:i w:val="0"/>
          <w:sz w:val="28"/>
        </w:rPr>
        <w:t xml:space="preserve">, а 27 записів походили з 12 assays, пізніше позначених як </w:t>
      </w:r>
      <w:r>
        <w:rPr>
          <w:rFonts w:ascii="Courier New" w:hAnsi="Courier New" w:eastAsia="Courier New"/>
          <w:sz w:val="22"/>
        </w:rPr>
        <w:t>excluded</w:t>
      </w:r>
      <w:r>
        <w:rPr>
          <w:rFonts w:ascii="Times New Roman" w:hAnsi="Times New Roman" w:eastAsia="Times New Roman"/>
          <w:i w:val="0"/>
          <w:sz w:val="28"/>
        </w:rPr>
        <w:t xml:space="preserve">. Ці 27 записів стосувалися 22 сполук; для 8 сполук вони були єдиним джерелом активності, тоді як для 14 сполук у наборі також існували записи з </w:t>
      </w:r>
      <w:r>
        <w:rPr>
          <w:rFonts w:ascii="Courier New" w:hAnsi="Courier New" w:eastAsia="Courier New"/>
          <w:sz w:val="22"/>
        </w:rPr>
        <w:t>primary</w:t>
      </w:r>
      <w:r>
        <w:rPr>
          <w:rFonts w:ascii="Times New Roman" w:hAnsi="Times New Roman" w:eastAsia="Times New Roman"/>
          <w:i w:val="0"/>
          <w:sz w:val="28"/>
        </w:rPr>
        <w:t xml:space="preserve"> або </w:t>
      </w:r>
      <w:r>
        <w:rPr>
          <w:rFonts w:ascii="Courier New" w:hAnsi="Courier New" w:eastAsia="Courier New"/>
          <w:sz w:val="22"/>
        </w:rPr>
        <w:t>sensitivity</w:t>
      </w:r>
      <w:r>
        <w:rPr>
          <w:rFonts w:ascii="Times New Roman" w:hAnsi="Times New Roman" w:eastAsia="Times New Roman"/>
          <w:i w:val="0"/>
          <w:sz w:val="28"/>
        </w:rPr>
        <w:t xml:space="preserve"> assays.</w:t>
      </w:r>
    </w:p>
    <w:p>
      <w:pPr>
        <w:spacing w:line="240" w:lineRule="auto" w:after="100"/>
        <w:ind w:firstLine="0"/>
      </w:pPr>
      <w:r>
        <w:rPr>
          <w:rFonts w:ascii="Times New Roman" w:hAnsi="Times New Roman" w:eastAsia="Times New Roman"/>
          <w:i/>
          <w:color w:val="1F4E79"/>
          <w:sz w:val="18"/>
        </w:rPr>
        <w:t>[PROJECT SOURCE: data/raw/trpa1_current_api_raw.csv; data/assays/assay_table.csv; results/tables/FINAL_benchmark_assay_role_summary.csv; results/tables/FINAL_assay_role_record_audit.csv]</w:t>
      </w:r>
    </w:p>
    <w:p>
      <w:r>
        <w:rPr>
          <w:rFonts w:ascii="Times New Roman" w:hAnsi="Times New Roman" w:eastAsia="Times New Roman"/>
          <w:i w:val="0"/>
          <w:sz w:val="28"/>
        </w:rPr>
        <w:t>Оскільки цей аудит було виконано після формування molecule-level набору й завершення основної сітки моделей, результати benchmark та аналізів H1–H5 відображають повний набір 2196 записів / 1645 сполук і не були ретроспективно перераховані після виключення зазначених 27 записів. Аудит використовували для кількісної оцінки обмежень набору, але не як критерій включення до вже виконаного benchmark.</w:t>
      </w:r>
    </w:p>
    <w:p>
      <w:pPr>
        <w:spacing w:line="240" w:lineRule="auto" w:after="100"/>
        <w:ind w:firstLine="0"/>
      </w:pPr>
      <w:r>
        <w:rPr>
          <w:rFonts w:ascii="Times New Roman" w:hAnsi="Times New Roman" w:eastAsia="Times New Roman"/>
          <w:i/>
          <w:color w:val="1F4E79"/>
          <w:sz w:val="18"/>
        </w:rPr>
        <w:t>[PROJECT SOURCE: data/processed/trpa1_primary_dataset.csv; results/tables/grid_final_metadata_20260801-152155.json; data/assays/assay_table.csv; STATUS.md]</w:t>
      </w:r>
    </w:p>
    <w:p>
      <w:pPr>
        <w:pStyle w:val="Heading1"/>
      </w:pPr>
      <w:r>
        <w:rPr>
          <w:rFonts w:ascii="Times New Roman" w:hAnsi="Times New Roman" w:eastAsia="Times New Roman"/>
          <w:i w:val="0"/>
          <w:sz w:val="28"/>
        </w:rPr>
        <w:t>Стандартизація структур і формування цільової змінної</w:t>
      </w:r>
    </w:p>
    <w:p>
      <w:r>
        <w:rPr>
          <w:rFonts w:ascii="Times New Roman" w:hAnsi="Times New Roman" w:eastAsia="Times New Roman"/>
          <w:i w:val="0"/>
          <w:sz w:val="28"/>
        </w:rPr>
        <w:t>Одиницею аналізу була стандартизована молекулярна структура, ідентифікована за InChIKey. Для кожної структури цільову змінну визначали як медіану всіх збережених значень pChEMBL для IC50. Оскільки всі включені записи мали тип показника IC50, у рукописі це агреговане значення далі позначається як pIC50. Такий показник характеризує медіану літературних вимірювань однієї сполуки, а не її активність у єдиному стандартизованому протоколі.</w:t>
      </w:r>
    </w:p>
    <w:p>
      <w:pPr>
        <w:spacing w:line="240" w:lineRule="auto" w:after="100"/>
        <w:ind w:firstLine="0"/>
      </w:pPr>
      <w:r>
        <w:rPr>
          <w:rFonts w:ascii="Times New Roman" w:hAnsi="Times New Roman" w:eastAsia="Times New Roman"/>
          <w:i/>
          <w:color w:val="1F4E79"/>
          <w:sz w:val="18"/>
        </w:rPr>
        <w:t>[PROJECT SOURCE: data/raw/trpa1_current_api_raw.csv; data/processed/trpa1_primary_dataset.csv]</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офіційне джерело ChEMBL, яке підтверджує трактування pChEMBL для точних IC50 як pIC50]</w:t>
      </w:r>
    </w:p>
    <w:p>
      <w:r>
        <w:rPr>
          <w:rFonts w:ascii="Times New Roman" w:hAnsi="Times New Roman" w:eastAsia="Times New Roman"/>
          <w:i w:val="0"/>
          <w:sz w:val="28"/>
        </w:rPr>
        <w:t>Наявна проєктна документація описує парсинг структур засобами RDKit, видалення солей або вибір основного фрагмента, побудову канонічного ізомеричного SMILES та InChIKey, після чого записи об’єднували за стандартизованою структурою. Водночас у поточній версії репозиторію немає одного канонічного скрипту, який повністю відтворює перехід від таблиці окремих вимірювань до trpa1_primary_dataset.csv.</w:t>
      </w:r>
    </w:p>
    <w:p>
      <w:pPr>
        <w:spacing w:line="240" w:lineRule="auto" w:after="100"/>
        <w:ind w:firstLine="0"/>
      </w:pPr>
      <w:r>
        <w:rPr>
          <w:rFonts w:ascii="Times New Roman" w:hAnsi="Times New Roman" w:eastAsia="Times New Roman"/>
          <w:i/>
          <w:color w:val="1F4E79"/>
          <w:sz w:val="18"/>
        </w:rPr>
        <w:t>[PROJECT SOURCE: docs/methods_fact_sheet.md; data/processed/trpa1_primary_dataset.csv]</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знайти або відновити точний build-script і підтвердити послідовність видалення солей, вибору фрагмента та генерації InChIKey перед поданням статті]</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офіційна цитата RDKit]</w:t>
      </w:r>
    </w:p>
    <w:p>
      <w:pPr>
        <w:pStyle w:val="Heading1"/>
      </w:pPr>
      <w:r>
        <w:rPr>
          <w:rFonts w:ascii="Times New Roman" w:hAnsi="Times New Roman" w:eastAsia="Times New Roman"/>
          <w:i w:val="0"/>
          <w:sz w:val="28"/>
        </w:rPr>
        <w:t>Молекулярні представлення</w:t>
      </w:r>
    </w:p>
    <w:p>
      <w:r>
        <w:rPr>
          <w:rFonts w:ascii="Times New Roman" w:hAnsi="Times New Roman" w:eastAsia="Times New Roman"/>
          <w:i w:val="0"/>
          <w:sz w:val="28"/>
        </w:rPr>
        <w:t>Для кожної сполуки використовували чотири способи числового опису молекулярної структури. Першим був бітовий відбиток Morgan ECFP4, сформований у RDKit із радіусом 2 та довжиною 2048 біт без урахування хіральності.</w:t>
      </w:r>
    </w:p>
    <w:p>
      <w:pPr>
        <w:spacing w:line="240" w:lineRule="auto" w:after="100"/>
        <w:ind w:firstLine="0"/>
      </w:pPr>
      <w:r>
        <w:rPr>
          <w:rFonts w:ascii="Times New Roman" w:hAnsi="Times New Roman" w:eastAsia="Times New Roman"/>
          <w:i/>
          <w:color w:val="1F4E79"/>
          <w:sz w:val="18"/>
        </w:rPr>
        <w:t>[PROJECT SOURCE: scripts/Grid_Benchmark.py; results/tables/grid_final_metadata_20260801-152155.json]</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первинна методична публікація для Morgan/ECFP і офіційна цитата RDKit]</w:t>
      </w:r>
    </w:p>
    <w:p>
      <w:r>
        <w:rPr>
          <w:rFonts w:ascii="Times New Roman" w:hAnsi="Times New Roman" w:eastAsia="Times New Roman"/>
          <w:i w:val="0"/>
          <w:sz w:val="28"/>
        </w:rPr>
        <w:t>Другим представленням був набір із 15 фізико-хімічних дескрипторів RDKit: молекулярна маса, logP, молярна рефракція, площа полярної поверхні, кількість акцепторів і донорів водневого зв’язку, кількість обертових зв’язків, ароматичних, аліфатичних і насичених кілець, загальна кількість кілець, частка sp3-гібридизованих атомів вуглецю, кількість важких атомів, гетероатомів і LabuteASA.</w:t>
      </w:r>
    </w:p>
    <w:p>
      <w:pPr>
        <w:spacing w:line="240" w:lineRule="auto" w:after="100"/>
        <w:ind w:firstLine="0"/>
      </w:pPr>
      <w:r>
        <w:rPr>
          <w:rFonts w:ascii="Times New Roman" w:hAnsi="Times New Roman" w:eastAsia="Times New Roman"/>
          <w:i/>
          <w:color w:val="1F4E79"/>
          <w:sz w:val="18"/>
        </w:rPr>
        <w:t>[PROJECT SOURCE: scripts/Grid_Benchmark.py; scripts/chemberta_benchmark.py]</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офіційна цитата RDKit і, за потреби, першоджерела окремих дескрипторів]</w:t>
      </w:r>
    </w:p>
    <w:p>
      <w:r>
        <w:rPr>
          <w:rFonts w:ascii="Times New Roman" w:hAnsi="Times New Roman" w:eastAsia="Times New Roman"/>
          <w:i w:val="0"/>
          <w:sz w:val="28"/>
        </w:rPr>
        <w:t>Третім представленням були 384-вимірні вектори ChemBERTa-CLS, отримані замороженою попередньо навченою моделлю DeepChem/ChemBERTa-77M-MTR із першого токена послідовності; для токенізації SMILES застосовували обрізання до максимальної довжини 512 токенів. Параметри цієї моделі не донавчали на наборі TRPA1 у межах основної сітки порівняння.</w:t>
      </w:r>
    </w:p>
    <w:p>
      <w:pPr>
        <w:spacing w:line="240" w:lineRule="auto" w:after="100"/>
        <w:ind w:firstLine="0"/>
      </w:pPr>
      <w:r>
        <w:rPr>
          <w:rFonts w:ascii="Times New Roman" w:hAnsi="Times New Roman" w:eastAsia="Times New Roman"/>
          <w:i/>
          <w:color w:val="1F4E79"/>
          <w:sz w:val="18"/>
        </w:rPr>
        <w:t>[PROJECT SOURCE: scripts/chemberta_benchmark.py; scripts/Grid_Benchmark.py; results/tables/grid_final_metadata_20260801-152155.json]</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перевірена первинна публікація для використаної версії ChemBERTa]</w:t>
      </w:r>
    </w:p>
    <w:p>
      <w:r>
        <w:rPr>
          <w:rFonts w:ascii="Times New Roman" w:hAnsi="Times New Roman" w:eastAsia="Times New Roman"/>
          <w:i w:val="0"/>
          <w:sz w:val="28"/>
        </w:rPr>
        <w:t>Четвертим представленням були 768-вимірні вектори MolFormer-Mean, сформовані усередненням прихованих представлень попередньо навченої моделі. У замороженому benchmark-файлі збережено контрольну суму NPZ із цими векторами, однак точний ідентифікатор і ревізію вихідної моделі MolFormer ще потрібно підтвердити за середовищем, у якому виконували генерацію векторів.</w:t>
      </w:r>
    </w:p>
    <w:p>
      <w:pPr>
        <w:spacing w:line="240" w:lineRule="auto" w:after="100"/>
        <w:ind w:firstLine="0"/>
      </w:pPr>
      <w:r>
        <w:rPr>
          <w:rFonts w:ascii="Times New Roman" w:hAnsi="Times New Roman" w:eastAsia="Times New Roman"/>
          <w:i/>
          <w:color w:val="1F4E79"/>
          <w:sz w:val="18"/>
        </w:rPr>
        <w:t>[PROJECT SOURCE: scripts/Grid_Benchmark.py; results/tables/grid_final_metadata_20260801-152155.json; docs/methods_fact_sheet.md]</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точна назва й ревізія моделі MolFormer, використаної для embeddings_all.npz]</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перевірена первинна публікація MolFormer]</w:t>
      </w:r>
    </w:p>
    <w:p>
      <w:r>
        <w:rPr>
          <w:rFonts w:ascii="Times New Roman" w:hAnsi="Times New Roman" w:eastAsia="Times New Roman"/>
          <w:i w:val="0"/>
          <w:sz w:val="28"/>
        </w:rPr>
        <w:t>Для додаткових аналізів розбіжності значень, хімічної віддаленості та способу поділу даних використовували Morgan fingerprints у поєднанні з Random Forest і XGBoost. Morgan обрали як спільне представлення для обох алгоритмів, оскільки його scaffold-CV якість була близькою до найкращих комбінацій повної сітки, а аналіз хімічної віддаленості безпосередньо ґрунтувався на Tanimoto similarity між Morgan fingerprints.</w:t>
      </w:r>
    </w:p>
    <w:p>
      <w:pPr>
        <w:spacing w:line="240" w:lineRule="auto" w:after="100"/>
        <w:ind w:firstLine="0"/>
      </w:pPr>
      <w:r>
        <w:rPr>
          <w:rFonts w:ascii="Times New Roman" w:hAnsi="Times New Roman" w:eastAsia="Times New Roman"/>
          <w:i/>
          <w:color w:val="1F4E79"/>
          <w:sz w:val="18"/>
        </w:rPr>
        <w:t>[PROJECT SOURCE: results/tables/grid_final_results_20260801-152155.csv; results/tables/FINAL_H1_scaffold_performance.csv; scripts/analyze_h1_h5.py]</w:t>
      </w:r>
    </w:p>
    <w:p>
      <w:pPr>
        <w:pStyle w:val="Heading1"/>
      </w:pPr>
      <w:r>
        <w:rPr>
          <w:rFonts w:ascii="Times New Roman" w:hAnsi="Times New Roman" w:eastAsia="Times New Roman"/>
          <w:i w:val="0"/>
          <w:sz w:val="28"/>
        </w:rPr>
        <w:t>Регресійні алгоритми</w:t>
      </w:r>
    </w:p>
    <w:p>
      <w:r>
        <w:rPr>
          <w:rFonts w:ascii="Times New Roman" w:hAnsi="Times New Roman" w:eastAsia="Times New Roman"/>
          <w:i w:val="0"/>
          <w:sz w:val="28"/>
        </w:rPr>
        <w:t>Кожне з чотирьох молекулярних представлень подавали двом регресійним алгоритмам на однакових розбиттях даних: випадковому лісу (Random Forest) та XGBoost. Для RandomForestRegressor використовували 500 дерев, random_state = 42 і n_jobs = −1; решту параметрів залишали за замовчуванням бібліотеки scikit-learn, а їх точні значення збережено в метаданих запуску.</w:t>
      </w:r>
    </w:p>
    <w:p>
      <w:pPr>
        <w:spacing w:line="240" w:lineRule="auto" w:after="100"/>
        <w:ind w:firstLine="0"/>
      </w:pPr>
      <w:r>
        <w:rPr>
          <w:rFonts w:ascii="Times New Roman" w:hAnsi="Times New Roman" w:eastAsia="Times New Roman"/>
          <w:i/>
          <w:color w:val="1F4E79"/>
          <w:sz w:val="18"/>
        </w:rPr>
        <w:t>[PROJECT SOURCE: scripts/Grid_Benchmark.py; results/tables/grid_final_metadata_20260801-152155.json]</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первинна публікація Random Forest; офіційна цитата scikit-learn]</w:t>
      </w:r>
    </w:p>
    <w:p>
      <w:r>
        <w:rPr>
          <w:rFonts w:ascii="Times New Roman" w:hAnsi="Times New Roman" w:eastAsia="Times New Roman"/>
          <w:i w:val="0"/>
          <w:sz w:val="28"/>
        </w:rPr>
        <w:t>Для XGBRegressor використовували 500 дерев, максимальну глибину 6, швидкість навчання 0,05, цільову функцію reg:squarederror, метрику rmse, алгоритм побудови дерев hist, random_state = 42 і n_jobs = −1.</w:t>
      </w:r>
    </w:p>
    <w:p>
      <w:pPr>
        <w:spacing w:line="240" w:lineRule="auto" w:after="100"/>
        <w:ind w:firstLine="0"/>
      </w:pPr>
      <w:r>
        <w:rPr>
          <w:rFonts w:ascii="Times New Roman" w:hAnsi="Times New Roman" w:eastAsia="Times New Roman"/>
          <w:i/>
          <w:color w:val="1F4E79"/>
          <w:sz w:val="18"/>
        </w:rPr>
        <w:t>[PROJECT SOURCE: scripts/Grid_Benchmark.py; results/tables/grid_final_metadata_20260801-152155.json]</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первинна публікація XGBoost]</w:t>
      </w:r>
    </w:p>
    <w:p>
      <w:r>
        <w:rPr>
          <w:rFonts w:ascii="Times New Roman" w:hAnsi="Times New Roman" w:eastAsia="Times New Roman"/>
          <w:i w:val="0"/>
          <w:sz w:val="28"/>
        </w:rPr>
        <w:t>Для контролю результатів також застосовували базову модель, яка в кожному навчальному фолді передбачала середнє значення цільової змінної.</w:t>
      </w:r>
    </w:p>
    <w:p>
      <w:pPr>
        <w:spacing w:line="240" w:lineRule="auto" w:after="100"/>
        <w:ind w:firstLine="0"/>
      </w:pPr>
      <w:r>
        <w:rPr>
          <w:rFonts w:ascii="Times New Roman" w:hAnsi="Times New Roman" w:eastAsia="Times New Roman"/>
          <w:i/>
          <w:color w:val="1F4E79"/>
          <w:sz w:val="18"/>
        </w:rPr>
        <w:t>[PROJECT SOURCE: scripts/Grid_Benchmark.py; results/tables/grid_final_results_20260801-152155.csv]</w:t>
      </w:r>
    </w:p>
    <w:p>
      <w:pPr>
        <w:pStyle w:val="Heading1"/>
      </w:pPr>
      <w:r>
        <w:rPr>
          <w:rFonts w:ascii="Times New Roman" w:hAnsi="Times New Roman" w:eastAsia="Times New Roman"/>
          <w:i w:val="0"/>
          <w:sz w:val="28"/>
        </w:rPr>
        <w:t>Поділ даних і основна оцінка моделей</w:t>
      </w:r>
    </w:p>
    <w:p>
      <w:r>
        <w:rPr>
          <w:rFonts w:ascii="Times New Roman" w:hAnsi="Times New Roman" w:eastAsia="Times New Roman"/>
          <w:i w:val="0"/>
          <w:sz w:val="28"/>
        </w:rPr>
        <w:t>Основну оцінку проводили методом п’ятикратної перехресної перевірки з групуванням за хімічними каркасами Bemis–Murcko. Сполуки з однаковим каркасом завжди належали до одного фолду, тому каркас тестової сполуки не був представлений у навчальній частині відповідного фолду.</w:t>
      </w:r>
    </w:p>
    <w:p>
      <w:pPr>
        <w:spacing w:line="240" w:lineRule="auto" w:after="100"/>
        <w:ind w:firstLine="0"/>
      </w:pPr>
      <w:r>
        <w:rPr>
          <w:rFonts w:ascii="Times New Roman" w:hAnsi="Times New Roman" w:eastAsia="Times New Roman"/>
          <w:i/>
          <w:color w:val="1F4E79"/>
          <w:sz w:val="18"/>
        </w:rPr>
        <w:t>[PROJECT SOURCE: scripts/Grid_Benchmark.py; results/tables/grid_final_fold_assignments_20260801-152155.csv; results/tables/grid_final_metadata_20260801-152155.json]</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первинна публікація Bemis–Murcko; методичне джерело щодо використання scaffold split для оцінки хімічної екстраполяції]</w:t>
      </w:r>
    </w:p>
    <w:p>
      <w:r>
        <w:rPr>
          <w:rFonts w:ascii="Times New Roman" w:hAnsi="Times New Roman" w:eastAsia="Times New Roman"/>
          <w:i w:val="0"/>
          <w:sz w:val="28"/>
        </w:rPr>
        <w:t>Використовували три варіанти розподілу каркасів між п’ятьма фолдами. Перший варіант формували детермінованим GroupKFold. Для другого і третього варіантів каркаси незалежно перерозподіляли з початковими значеннями генератора 1001 і 1002, балансуючи кількість сполук у фолдах. Ті самі призначення фолдів застосовували до всіх восьми комбінацій «молекулярне представлення × алгоритм».</w:t>
      </w:r>
    </w:p>
    <w:p>
      <w:pPr>
        <w:spacing w:line="240" w:lineRule="auto" w:after="100"/>
        <w:ind w:firstLine="0"/>
      </w:pPr>
      <w:r>
        <w:rPr>
          <w:rFonts w:ascii="Times New Roman" w:hAnsi="Times New Roman" w:eastAsia="Times New Roman"/>
          <w:i/>
          <w:color w:val="1F4E79"/>
          <w:sz w:val="18"/>
        </w:rPr>
        <w:t>[PROJECT SOURCE: scripts/Grid_Benchmark.py; results/tables/grid_final_fold_assignments_20260801-152155.csv; results/tables/grid_final_metadata_20260801-152155.json]</w:t>
      </w:r>
    </w:p>
    <w:p>
      <w:r>
        <w:rPr>
          <w:rFonts w:ascii="Times New Roman" w:hAnsi="Times New Roman" w:eastAsia="Times New Roman"/>
          <w:i w:val="0"/>
          <w:sz w:val="28"/>
        </w:rPr>
        <w:t>Для кожної сполуки в кожному з трьох варіантів розподілу зберігали прогноз, отриманий моделлю, яка не навчалася на цій сполуці та її каркасі (out-of-fold, OOF). У кожному варіанті розподілу метрики обчислювали на сукупності всіх OOF-прогнозів, після чого подавали середнє та стандартне відхилення між трьома варіантами.</w:t>
      </w:r>
    </w:p>
    <w:p>
      <w:pPr>
        <w:spacing w:line="240" w:lineRule="auto" w:after="100"/>
        <w:ind w:firstLine="0"/>
      </w:pPr>
      <w:r>
        <w:rPr>
          <w:rFonts w:ascii="Times New Roman" w:hAnsi="Times New Roman" w:eastAsia="Times New Roman"/>
          <w:i/>
          <w:color w:val="1F4E79"/>
          <w:sz w:val="18"/>
        </w:rPr>
        <w:t>[PROJECT SOURCE: scripts/Grid_Benchmark.py; results/tables/grid_final_oof_20260801-152155.csv; results/tables/grid_final_results_20260801-152155.csv]</w:t>
      </w:r>
    </w:p>
    <w:p>
      <w:r>
        <w:rPr>
          <w:rFonts w:ascii="Times New Roman" w:hAnsi="Times New Roman" w:eastAsia="Times New Roman"/>
          <w:i w:val="0"/>
          <w:sz w:val="28"/>
        </w:rPr>
        <w:t>Основними показниками якості були середньоквадратична похибка (RMSE), коефіцієнт детермінації R² та ранговий коефіцієнт кореляції Спірмена. Середню абсолютну похибку (MAE) додатково використовували у порівнянні випадкового поділу з поділом за каркасами.</w:t>
      </w:r>
    </w:p>
    <w:p>
      <w:pPr>
        <w:spacing w:line="240" w:lineRule="auto" w:after="100"/>
        <w:ind w:firstLine="0"/>
      </w:pPr>
      <w:r>
        <w:rPr>
          <w:rFonts w:ascii="Times New Roman" w:hAnsi="Times New Roman" w:eastAsia="Times New Roman"/>
          <w:i/>
          <w:color w:val="1F4E79"/>
          <w:sz w:val="18"/>
        </w:rPr>
        <w:t>[PROJECT SOURCE: scripts/Grid_Benchmark.py; scripts/analyze_h1_h5.py; results/tables/grid_final_results_20260801-152155.csv; results/tables/FINAL_H5_random_vs_scaffold.csv]</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за вимогами журналу визначити, чи потрібні окремі стандартні статистичні посилання для RMSE, R², MAE та кореляції Спірмена]</w:t>
      </w:r>
    </w:p>
    <w:p>
      <w:pPr>
        <w:pStyle w:val="Heading1"/>
      </w:pPr>
      <w:r>
        <w:rPr>
          <w:rFonts w:ascii="Times New Roman" w:hAnsi="Times New Roman" w:eastAsia="Times New Roman"/>
          <w:i w:val="0"/>
          <w:sz w:val="28"/>
        </w:rPr>
        <w:t>Аналіз розбіжності опублікованих значень</w:t>
      </w:r>
    </w:p>
    <w:p>
      <w:r>
        <w:rPr>
          <w:rFonts w:ascii="Times New Roman" w:hAnsi="Times New Roman" w:eastAsia="Times New Roman"/>
          <w:i w:val="0"/>
          <w:sz w:val="28"/>
        </w:rPr>
        <w:t>Щоб технічні дублікати одного тесту не вважали незалежними вимірюваннями, записи спочатку об’єднували медіаною всередині кожної пари «сполука × assay». Розбіжність між тестами оцінювали лише для 393 сполук, представлених щонайменше у двох різних assays.</w:t>
      </w:r>
    </w:p>
    <w:p>
      <w:pPr>
        <w:spacing w:line="240" w:lineRule="auto" w:after="100"/>
        <w:ind w:firstLine="0"/>
      </w:pPr>
      <w:r>
        <w:rPr>
          <w:rFonts w:ascii="Times New Roman" w:hAnsi="Times New Roman" w:eastAsia="Times New Roman"/>
          <w:i/>
          <w:color w:val="1F4E79"/>
          <w:sz w:val="18"/>
        </w:rPr>
        <w:t>[PROJECT SOURCE: scripts/analyze_h1_h5.py; results/tables/FINAL_H2_variability_vs_error.csv; results/tables/FINAL_H1_H5_METADATA.json]</w:t>
      </w:r>
    </w:p>
    <w:p>
      <w:r>
        <w:rPr>
          <w:rFonts w:ascii="Times New Roman" w:hAnsi="Times New Roman" w:eastAsia="Times New Roman"/>
          <w:i w:val="0"/>
          <w:sz w:val="28"/>
        </w:rPr>
        <w:t>У суворішому міждокументному аналізі записи спочатку об’єднували медіаною всередині кожної пари «сполука × документ», після чого розбіжність оцінювали для 52 сполук, наявних щонайменше у двох різних документах.</w:t>
      </w:r>
    </w:p>
    <w:p>
      <w:pPr>
        <w:spacing w:line="240" w:lineRule="auto" w:after="100"/>
        <w:ind w:firstLine="0"/>
      </w:pPr>
      <w:r>
        <w:rPr>
          <w:rFonts w:ascii="Times New Roman" w:hAnsi="Times New Roman" w:eastAsia="Times New Roman"/>
          <w:i/>
          <w:color w:val="1F4E79"/>
          <w:sz w:val="18"/>
        </w:rPr>
        <w:t>[PROJECT SOURCE: scripts/analyze_h1_h5.py; results/tables/FINAL_H2_variability_vs_error.csv; results/tables/FINAL_H1_H5_METADATA.json]</w:t>
      </w:r>
    </w:p>
    <w:p>
      <w:r>
        <w:rPr>
          <w:rFonts w:ascii="Times New Roman" w:hAnsi="Times New Roman" w:eastAsia="Times New Roman"/>
          <w:i w:val="0"/>
          <w:sz w:val="28"/>
        </w:rPr>
        <w:t>Основним показником розбіжності був розмах pIC50 між агрегованими значеннями. Як додаткові показники обчислювали вибіркове стандартне відхилення, медіанне абсолютне відхилення та медіану всіх попарних абсолютних різниць. Для кожної моделі абсолютну OOF-похибку сполуки усереднювали між трьома варіантами scaffold-розподілу, після чого перевіряли її монотонний зв’язок із показниками розбіжності за коефіцієнтом Спірмена.</w:t>
      </w:r>
    </w:p>
    <w:p>
      <w:pPr>
        <w:spacing w:line="240" w:lineRule="auto" w:after="100"/>
        <w:ind w:firstLine="0"/>
      </w:pPr>
      <w:r>
        <w:rPr>
          <w:rFonts w:ascii="Times New Roman" w:hAnsi="Times New Roman" w:eastAsia="Times New Roman"/>
          <w:i/>
          <w:color w:val="1F4E79"/>
          <w:sz w:val="18"/>
        </w:rPr>
        <w:t>[PROJECT SOURCE: scripts/analyze_h1_h5.py; results/tables/FINAL_H2_variability_vs_error.csv]</w:t>
      </w:r>
    </w:p>
    <w:p>
      <w:r>
        <w:rPr>
          <w:rFonts w:ascii="Times New Roman" w:hAnsi="Times New Roman" w:eastAsia="Times New Roman"/>
          <w:i w:val="0"/>
          <w:sz w:val="28"/>
        </w:rPr>
        <w:t>Для кожного з чотирьох показників розбіжності 95% довірчі інтервали коефіцієнта Спірмена оцінювали кластерним bootstrap із повторним вибором цілих хімічних каркасів, 1500 ітерацій. Додатково обчислювали часткову рангову кореляцію з контролем медіанного pIC50 та кількості assays або документів.</w:t>
      </w:r>
    </w:p>
    <w:p>
      <w:pPr>
        <w:spacing w:line="240" w:lineRule="auto" w:after="100"/>
        <w:ind w:firstLine="0"/>
      </w:pPr>
      <w:r>
        <w:rPr>
          <w:rFonts w:ascii="Times New Roman" w:hAnsi="Times New Roman" w:eastAsia="Times New Roman"/>
          <w:i/>
          <w:color w:val="1F4E79"/>
          <w:sz w:val="18"/>
        </w:rPr>
        <w:t>[PROJECT SOURCE: scripts/analyze_h1_h5.py; results/tables/FINAL_H2_variability_vs_error.csv; results/tables/FINAL_H1_H5_METADATA.json]</w:t>
      </w:r>
    </w:p>
    <w:p>
      <w:r>
        <w:rPr>
          <w:rFonts w:ascii="Times New Roman" w:hAnsi="Times New Roman" w:eastAsia="Times New Roman"/>
          <w:i w:val="0"/>
          <w:sz w:val="28"/>
        </w:rPr>
        <w:t>Оскільки для кожної моделі в кожній підвибірці одночасно перевіряли чотири показники розбіжності, їхні p-значення коригували методом Холма окремо в межах кожної комбінації «модель × рівень агрегації» (</w:t>
      </w:r>
      <w:r>
        <w:rPr>
          <w:rFonts w:ascii="Courier New" w:hAnsi="Courier New" w:eastAsia="Courier New"/>
          <w:sz w:val="22"/>
        </w:rPr>
        <w:t>different_assays</w:t>
      </w:r>
      <w:r>
        <w:rPr>
          <w:rFonts w:ascii="Times New Roman" w:hAnsi="Times New Roman" w:eastAsia="Times New Roman"/>
          <w:i w:val="0"/>
          <w:sz w:val="28"/>
        </w:rPr>
        <w:t xml:space="preserve"> або </w:t>
      </w:r>
      <w:r>
        <w:rPr>
          <w:rFonts w:ascii="Courier New" w:hAnsi="Courier New" w:eastAsia="Courier New"/>
          <w:sz w:val="22"/>
        </w:rPr>
        <w:t>different_documents</w:t>
      </w:r>
      <w:r>
        <w:rPr>
          <w:rFonts w:ascii="Times New Roman" w:hAnsi="Times New Roman" w:eastAsia="Times New Roman"/>
          <w:i w:val="0"/>
          <w:sz w:val="28"/>
        </w:rPr>
        <w:t>). Корекція змінювала оцінку статистичної значущості, але не значення коефіцієнта ρ.</w:t>
      </w:r>
    </w:p>
    <w:p>
      <w:pPr>
        <w:spacing w:line="240" w:lineRule="auto" w:after="100"/>
        <w:ind w:firstLine="0"/>
      </w:pPr>
      <w:r>
        <w:rPr>
          <w:rFonts w:ascii="Times New Roman" w:hAnsi="Times New Roman" w:eastAsia="Times New Roman"/>
          <w:i/>
          <w:color w:val="1F4E79"/>
          <w:sz w:val="18"/>
        </w:rPr>
        <w:t>[PROJECT SOURCE: scripts/analyze_h1_h5.py; results/tables/FINAL_H2_variability_vs_error.csv]</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первинне або методичне джерело для поправки Холма]</w:t>
      </w:r>
    </w:p>
    <w:p>
      <w:pPr>
        <w:pStyle w:val="Heading1"/>
      </w:pPr>
      <w:r>
        <w:rPr>
          <w:rFonts w:ascii="Times New Roman" w:hAnsi="Times New Roman" w:eastAsia="Times New Roman"/>
          <w:i w:val="0"/>
          <w:sz w:val="28"/>
        </w:rPr>
        <w:t>Допоміжне порівняння з класифікаційною постановкою</w:t>
      </w:r>
    </w:p>
    <w:p>
      <w:r>
        <w:rPr>
          <w:rFonts w:ascii="Times New Roman" w:hAnsi="Times New Roman" w:eastAsia="Times New Roman"/>
          <w:i w:val="0"/>
          <w:sz w:val="28"/>
        </w:rPr>
        <w:t>Для оцінки впливу постановки задачі окремо відтворювали класифікаційний підхід «відомий антагоніст TRPA1 проти випадково відібраної decoy-сполуки». У цьому аналізі використовували 2048-бітні Morgan ECFP4, випадковий стратифікований поділ 80/20 з random_state = 34 та десятикратну стратифіковану перехресну перевірку для ROC AUC.</w:t>
      </w:r>
    </w:p>
    <w:p>
      <w:pPr>
        <w:spacing w:line="240" w:lineRule="auto" w:after="100"/>
        <w:ind w:firstLine="0"/>
      </w:pPr>
      <w:r>
        <w:rPr>
          <w:rFonts w:ascii="Times New Roman" w:hAnsi="Times New Roman" w:eastAsia="Times New Roman"/>
          <w:i/>
          <w:color w:val="1F4E79"/>
          <w:sz w:val="18"/>
        </w:rPr>
        <w:t>[PROJECT SOURCE: scripts/MihaiExperimentReplication.py; results/tables/FINAL_H3_mihai_replication_summary.csv]</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повний перевірений бібліографічний запис Mihai et al., DOI 10.3390/ai1020018]</w:t>
      </w:r>
    </w:p>
    <w:p>
      <w:r>
        <w:rPr>
          <w:rFonts w:ascii="Times New Roman" w:hAnsi="Times New Roman" w:eastAsia="Times New Roman"/>
          <w:i w:val="0"/>
          <w:sz w:val="28"/>
        </w:rPr>
        <w:t>Порівнювали випадковий ліс, метод опорних векторів із радіально-базисним ядром та повнозв’язну нейронну мережу. Цей аналіз відтворював загальну постановку попередньої роботи, але використовував Morgan fingerprints замість її початкового способу молекулярного опису, тому його розглядали як допоміжне порівняння складності задач, а не як дослівне відтворення всіх методичних деталей.</w:t>
      </w:r>
    </w:p>
    <w:p>
      <w:pPr>
        <w:spacing w:line="240" w:lineRule="auto" w:after="100"/>
        <w:ind w:firstLine="0"/>
      </w:pPr>
      <w:r>
        <w:rPr>
          <w:rFonts w:ascii="Times New Roman" w:hAnsi="Times New Roman" w:eastAsia="Times New Roman"/>
          <w:i/>
          <w:color w:val="1F4E79"/>
          <w:sz w:val="18"/>
        </w:rPr>
        <w:t>[PROJECT SOURCE: scripts/MihaiExperimentReplication.py]</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повний текст Mihai et al. для точного зіставлення початкових molecular descriptors і параметрів моделей]</w:t>
      </w:r>
    </w:p>
    <w:p>
      <w:pPr>
        <w:pStyle w:val="Heading1"/>
      </w:pPr>
      <w:r>
        <w:rPr>
          <w:rFonts w:ascii="Times New Roman" w:hAnsi="Times New Roman" w:eastAsia="Times New Roman"/>
          <w:i w:val="0"/>
          <w:sz w:val="28"/>
        </w:rPr>
        <w:t>Аналіз хімічної області застосовності</w:t>
      </w:r>
    </w:p>
    <w:p>
      <w:r>
        <w:rPr>
          <w:rFonts w:ascii="Times New Roman" w:hAnsi="Times New Roman" w:eastAsia="Times New Roman"/>
          <w:i w:val="0"/>
          <w:sz w:val="28"/>
        </w:rPr>
        <w:t>Для кожної тестової сполуки в кожному scaffold-фолді визначали максимальну коефіцієнтну подібність Танімото між її Morgan fingerprint і fingerprints усіх сполук навчальної частини. Для кожної сполуки максимальну подібність та абсолютну OOF-похибку усереднювали між трьома варіантами scaffold-розподілу.</w:t>
      </w:r>
    </w:p>
    <w:p>
      <w:pPr>
        <w:spacing w:line="240" w:lineRule="auto" w:after="100"/>
        <w:ind w:firstLine="0"/>
      </w:pPr>
      <w:r>
        <w:rPr>
          <w:rFonts w:ascii="Times New Roman" w:hAnsi="Times New Roman" w:eastAsia="Times New Roman"/>
          <w:i/>
          <w:color w:val="1F4E79"/>
          <w:sz w:val="18"/>
        </w:rPr>
        <w:t>[PROJECT SOURCE: scripts/analyze_h1_h5.py; results/tables/FINAL_H4_similarity_vs_error.csv]</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первинне або методичне джерело для коефіцієнта Танімото у хемоінформатиці]</w:t>
      </w:r>
    </w:p>
    <w:p>
      <w:r>
        <w:rPr>
          <w:rFonts w:ascii="Times New Roman" w:hAnsi="Times New Roman" w:eastAsia="Times New Roman"/>
          <w:i w:val="0"/>
          <w:sz w:val="28"/>
        </w:rPr>
        <w:t>Зв’язок між максимальною подібністю до навчальної вибірки та абсолютною похибкою оцінювали за коефіцієнтом Спірмена. 95% довірчі інтервали отримували scaffold-кластерним bootstrap із 1500 ітераціями; додатково обчислювали часткову рангову кореляцію з контролем медіанного pIC50.</w:t>
      </w:r>
    </w:p>
    <w:p>
      <w:pPr>
        <w:spacing w:line="240" w:lineRule="auto" w:after="100"/>
        <w:ind w:firstLine="0"/>
      </w:pPr>
      <w:r>
        <w:rPr>
          <w:rFonts w:ascii="Times New Roman" w:hAnsi="Times New Roman" w:eastAsia="Times New Roman"/>
          <w:i/>
          <w:color w:val="1F4E79"/>
          <w:sz w:val="18"/>
        </w:rPr>
        <w:t>[PROJECT SOURCE: scripts/analyze_h1_h5.py; results/tables/FINAL_H4_similarity_vs_error.csv; results/tables/FINAL_H1_H5_METADATA.json]</w:t>
      </w:r>
    </w:p>
    <w:p>
      <w:pPr>
        <w:pStyle w:val="Heading1"/>
      </w:pPr>
      <w:r>
        <w:rPr>
          <w:rFonts w:ascii="Times New Roman" w:hAnsi="Times New Roman" w:eastAsia="Times New Roman"/>
          <w:i w:val="0"/>
          <w:sz w:val="28"/>
        </w:rPr>
        <w:t>Порівняння випадкового поділу з поділом за каркасами</w:t>
      </w:r>
    </w:p>
    <w:p>
      <w:r>
        <w:rPr>
          <w:rFonts w:ascii="Times New Roman" w:hAnsi="Times New Roman" w:eastAsia="Times New Roman"/>
          <w:i w:val="0"/>
          <w:sz w:val="28"/>
        </w:rPr>
        <w:t xml:space="preserve">Для Random Forest і XGBoost на Morgan fingerprints додатково виконували випадкову п’ятикратну перехресну перевірку на тому самому наборі з 1645 сполук. Використовували три незалежні перемішування з </w:t>
      </w:r>
      <w:r>
        <w:rPr>
          <w:rFonts w:ascii="Courier New" w:hAnsi="Courier New" w:eastAsia="Courier New"/>
          <w:sz w:val="22"/>
        </w:rPr>
        <w:t>random_state</w:t>
      </w:r>
      <w:r>
        <w:rPr>
          <w:rFonts w:ascii="Times New Roman" w:hAnsi="Times New Roman" w:eastAsia="Times New Roman"/>
          <w:i w:val="0"/>
          <w:sz w:val="28"/>
        </w:rPr>
        <w:t xml:space="preserve"> 1000, 1001 і 1002, зберігаючи ті самі параметри регресійних алгоритмів, що й в основному scaffold-аналізі.</w:t>
      </w:r>
    </w:p>
    <w:p>
      <w:pPr>
        <w:spacing w:line="240" w:lineRule="auto" w:after="100"/>
        <w:ind w:firstLine="0"/>
      </w:pPr>
      <w:r>
        <w:rPr>
          <w:rFonts w:ascii="Times New Roman" w:hAnsi="Times New Roman" w:eastAsia="Times New Roman"/>
          <w:i/>
          <w:color w:val="1F4E79"/>
          <w:sz w:val="18"/>
        </w:rPr>
        <w:t>[PROJECT SOURCE: scripts/analyze_h1_h5.py; results/tables/FINAL_H5_random_oof_morgan.csv; results/tables/FINAL_H5_random_vs_scaffold.csv; data/processed/trpa1_primary_dataset.csv]</w:t>
      </w:r>
    </w:p>
    <w:p>
      <w:r>
        <w:rPr>
          <w:rFonts w:ascii="Times New Roman" w:hAnsi="Times New Roman" w:eastAsia="Times New Roman"/>
          <w:i w:val="0"/>
          <w:sz w:val="28"/>
        </w:rPr>
        <w:t>Для кожного способу поділу розраховували RMSE, MAE, R² і коефіцієнт Спірмена на сукупності OOF-прогнозів. Метрики обчислювали окремо для кожного з трьох варіантів розподілу, після чого усереднювали між ними.</w:t>
      </w:r>
    </w:p>
    <w:p>
      <w:pPr>
        <w:spacing w:line="240" w:lineRule="auto" w:after="100"/>
        <w:ind w:firstLine="0"/>
      </w:pPr>
      <w:r>
        <w:rPr>
          <w:rFonts w:ascii="Times New Roman" w:hAnsi="Times New Roman" w:eastAsia="Times New Roman"/>
          <w:i/>
          <w:color w:val="1F4E79"/>
          <w:sz w:val="18"/>
        </w:rPr>
        <w:t>[PROJECT SOURCE: scripts/analyze_h1_h5.py; results/tables/FINAL_H5_random_vs_scaffold.csv]</w:t>
      </w:r>
    </w:p>
    <w:p>
      <w:r>
        <w:rPr>
          <w:rFonts w:ascii="Times New Roman" w:hAnsi="Times New Roman" w:eastAsia="Times New Roman"/>
          <w:i w:val="0"/>
          <w:sz w:val="28"/>
        </w:rPr>
        <w:t>Статистичну невизначеність різниці між random і scaffold split оцінювали окремо для RMSE, MAE та R². Одиницею повторного вибору був цілий хімічний каркас, а не окрема молекула. Для 95% довірчих інтервалів різниці виконували 5000 bootstrap-ітерацій із повторним вибором 544 каркасів. Двобічне p-значення отримували в 10 000 перестановках, у яких для кожного каркаса випадково міняли місцями помилки, отримані за random і scaffold validation. У кожній ітерації метрики спочатку обчислювали для трьох розподілів окремо, а потім усереднювали, як у головній таблиці H5.</w:t>
      </w:r>
    </w:p>
    <w:p>
      <w:pPr>
        <w:spacing w:line="240" w:lineRule="auto" w:after="100"/>
        <w:ind w:firstLine="0"/>
      </w:pPr>
      <w:r>
        <w:rPr>
          <w:rFonts w:ascii="Times New Roman" w:hAnsi="Times New Roman" w:eastAsia="Times New Roman"/>
          <w:i/>
          <w:color w:val="1F4E79"/>
          <w:sz w:val="18"/>
        </w:rPr>
        <w:t>[PROJECT SOURCE: scripts/test_h5_validation_difference.py; results/tables/FINAL_H5_significance.csv]</w:t>
      </w:r>
    </w:p>
    <w:p>
      <w:r>
        <w:rPr>
          <w:rFonts w:ascii="Times New Roman" w:hAnsi="Times New Roman" w:eastAsia="Times New Roman"/>
          <w:i w:val="0"/>
          <w:sz w:val="28"/>
        </w:rPr>
        <w:t>Для кожної моделі три p-значення, отримані для RMSE, MAE та R², коригували методом Холма. Коефіцієнт Спірмена подано описово й не включено до цього множинного тестування.</w:t>
      </w:r>
    </w:p>
    <w:p>
      <w:pPr>
        <w:spacing w:line="240" w:lineRule="auto" w:after="100"/>
        <w:ind w:firstLine="0"/>
      </w:pPr>
      <w:r>
        <w:rPr>
          <w:rFonts w:ascii="Times New Roman" w:hAnsi="Times New Roman" w:eastAsia="Times New Roman"/>
          <w:i/>
          <w:color w:val="1F4E79"/>
          <w:sz w:val="18"/>
        </w:rPr>
        <w:t>[PROJECT SOURCE: scripts/test_h5_validation_difference.py; results/tables/FINAL_H5_significance.csv]</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методичне джерело для cluster bootstrap і permutation test на рівні хімічних каркасів, якщо редакція вимагатиме зовнішнього статистичного посилання]</w:t>
      </w:r>
    </w:p>
    <w:p>
      <w:pPr>
        <w:pStyle w:val="Heading1"/>
      </w:pPr>
      <w:r>
        <w:rPr>
          <w:rFonts w:ascii="Times New Roman" w:hAnsi="Times New Roman" w:eastAsia="Times New Roman"/>
          <w:i w:val="0"/>
          <w:sz w:val="28"/>
        </w:rPr>
        <w:t>Програмне забезпечення та відтворюваність</w:t>
      </w:r>
    </w:p>
    <w:p>
      <w:r>
        <w:rPr>
          <w:rFonts w:ascii="Times New Roman" w:hAnsi="Times New Roman" w:eastAsia="Times New Roman"/>
          <w:i w:val="0"/>
          <w:sz w:val="28"/>
        </w:rPr>
        <w:t>Основний benchmark виконано в Python 3.12.13 із NumPy 2.0.2, pandas 2.2.2, scikit-learn 1.6.1, SciPy 1.16.3, XGBoost 3.3.0 і RDKit 2026.03.4. Точні параметри моделей, призначення фолдів, OOF-прогнози, контрольні суми вхідних файлів і таблиці результатів збережено в репозиторії проєкту.</w:t>
      </w:r>
    </w:p>
    <w:p>
      <w:pPr>
        <w:spacing w:line="240" w:lineRule="auto" w:after="100"/>
        <w:ind w:firstLine="0"/>
      </w:pPr>
      <w:r>
        <w:rPr>
          <w:rFonts w:ascii="Times New Roman" w:hAnsi="Times New Roman" w:eastAsia="Times New Roman"/>
          <w:i/>
          <w:color w:val="1F4E79"/>
          <w:sz w:val="18"/>
        </w:rPr>
        <w:t>[PROJECT SOURCE: results/tables/grid_final_metadata_20260801-152155.json; results/tables/grid_final_fold_assignments_20260801-152155.csv; results/tables/grid_final_oof_20260801-152155.csv; results/tables/grid_final_results_20260801-152155.csv]</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офіційні програмні цитати для Python-пакетів, які журнал вимагатиме включити до списку літератури]</w:t>
      </w:r>
    </w:p>
    <w:p>
      <w:r>
        <w:rPr>
          <w:rFonts w:ascii="Times New Roman" w:hAnsi="Times New Roman" w:eastAsia="Times New Roman"/>
          <w:i w:val="0"/>
          <w:sz w:val="28"/>
        </w:rPr>
        <w:t xml:space="preserve">Повторний запуск аналізів H1–H5 виконано в Python 3.13.13 із NumPy 2.4.6, pandas 3.0.3, SciPy 1.17.1, scikit-learn 1.8.0, XGBoost 3.2.0 і RDKit 2026.03.2. Скрипт </w:t>
      </w:r>
      <w:r>
        <w:rPr>
          <w:rFonts w:ascii="Courier New" w:hAnsi="Courier New" w:eastAsia="Courier New"/>
          <w:sz w:val="22"/>
        </w:rPr>
        <w:t>scripts/analyze_h1_h5.py</w:t>
      </w:r>
      <w:r>
        <w:rPr>
          <w:rFonts w:ascii="Times New Roman" w:hAnsi="Times New Roman" w:eastAsia="Times New Roman"/>
          <w:i w:val="0"/>
          <w:sz w:val="28"/>
        </w:rPr>
        <w:t xml:space="preserve"> сформував таблиці H1–H5, random-split OOF-прогнози та метадані з контрольними сумами. Окремий скрипт </w:t>
      </w:r>
      <w:r>
        <w:rPr>
          <w:rFonts w:ascii="Courier New" w:hAnsi="Courier New" w:eastAsia="Courier New"/>
          <w:sz w:val="22"/>
        </w:rPr>
        <w:t>scripts/test_h5_validation_difference.py</w:t>
      </w:r>
      <w:r>
        <w:rPr>
          <w:rFonts w:ascii="Times New Roman" w:hAnsi="Times New Roman" w:eastAsia="Times New Roman"/>
          <w:i w:val="0"/>
          <w:sz w:val="28"/>
        </w:rPr>
        <w:t xml:space="preserve"> сформував cluster-bootstrap і permutation результати для порівняння random та scaffold validation.</w:t>
      </w:r>
    </w:p>
    <w:p>
      <w:pPr>
        <w:spacing w:line="240" w:lineRule="auto" w:after="100"/>
        <w:ind w:firstLine="0"/>
      </w:pPr>
      <w:r>
        <w:rPr>
          <w:rFonts w:ascii="Times New Roman" w:hAnsi="Times New Roman" w:eastAsia="Times New Roman"/>
          <w:i/>
          <w:color w:val="1F4E79"/>
          <w:sz w:val="18"/>
        </w:rPr>
        <w:t>[PROJECT SOURCE: scripts/analyze_h1_h5.py; scripts/test_h5_validation_difference.py; results/tables/FINAL_H1_H5_METADATA.json; results/tables/FINAL_H5_significance.csv]</w:t>
      </w:r>
    </w:p>
    <w:p>
      <w:r>
        <w:rPr>
          <w:rFonts w:ascii="Times New Roman" w:hAnsi="Times New Roman" w:eastAsia="Times New Roman"/>
          <w:i w:val="0"/>
          <w:sz w:val="28"/>
        </w:rPr>
        <w:t xml:space="preserve">Канонічними вихідними файлами додаткових аналізів є </w:t>
      </w:r>
      <w:r>
        <w:rPr>
          <w:rFonts w:ascii="Courier New" w:hAnsi="Courier New" w:eastAsia="Courier New"/>
          <w:sz w:val="22"/>
        </w:rPr>
        <w:t>FINAL_H1_scaffold_performance.csv</w:t>
      </w:r>
      <w:r>
        <w:rPr>
          <w:rFonts w:ascii="Times New Roman" w:hAnsi="Times New Roman" w:eastAsia="Times New Roman"/>
          <w:i w:val="0"/>
          <w:sz w:val="28"/>
        </w:rPr>
        <w:t xml:space="preserve">, </w:t>
      </w:r>
      <w:r>
        <w:rPr>
          <w:rFonts w:ascii="Courier New" w:hAnsi="Courier New" w:eastAsia="Courier New"/>
          <w:sz w:val="22"/>
        </w:rPr>
        <w:t>FINAL_H2_variability_vs_error.csv</w:t>
      </w:r>
      <w:r>
        <w:rPr>
          <w:rFonts w:ascii="Times New Roman" w:hAnsi="Times New Roman" w:eastAsia="Times New Roman"/>
          <w:i w:val="0"/>
          <w:sz w:val="28"/>
        </w:rPr>
        <w:t xml:space="preserve">, </w:t>
      </w:r>
      <w:r>
        <w:rPr>
          <w:rFonts w:ascii="Courier New" w:hAnsi="Courier New" w:eastAsia="Courier New"/>
          <w:sz w:val="22"/>
        </w:rPr>
        <w:t>FINAL_H3_mihai_replication_summary.csv</w:t>
      </w:r>
      <w:r>
        <w:rPr>
          <w:rFonts w:ascii="Times New Roman" w:hAnsi="Times New Roman" w:eastAsia="Times New Roman"/>
          <w:i w:val="0"/>
          <w:sz w:val="28"/>
        </w:rPr>
        <w:t xml:space="preserve">, </w:t>
      </w:r>
      <w:r>
        <w:rPr>
          <w:rFonts w:ascii="Courier New" w:hAnsi="Courier New" w:eastAsia="Courier New"/>
          <w:sz w:val="22"/>
        </w:rPr>
        <w:t>FINAL_H4_similarity_vs_error.csv</w:t>
      </w:r>
      <w:r>
        <w:rPr>
          <w:rFonts w:ascii="Times New Roman" w:hAnsi="Times New Roman" w:eastAsia="Times New Roman"/>
          <w:i w:val="0"/>
          <w:sz w:val="28"/>
        </w:rPr>
        <w:t xml:space="preserve">, </w:t>
      </w:r>
      <w:r>
        <w:rPr>
          <w:rFonts w:ascii="Courier New" w:hAnsi="Courier New" w:eastAsia="Courier New"/>
          <w:sz w:val="22"/>
        </w:rPr>
        <w:t>FINAL_H5_random_vs_scaffold.csv</w:t>
      </w:r>
      <w:r>
        <w:rPr>
          <w:rFonts w:ascii="Times New Roman" w:hAnsi="Times New Roman" w:eastAsia="Times New Roman"/>
          <w:i w:val="0"/>
          <w:sz w:val="28"/>
        </w:rPr>
        <w:t xml:space="preserve">, </w:t>
      </w:r>
      <w:r>
        <w:rPr>
          <w:rFonts w:ascii="Courier New" w:hAnsi="Courier New" w:eastAsia="Courier New"/>
          <w:sz w:val="22"/>
        </w:rPr>
        <w:t>FINAL_H5_random_oof_morgan.csv</w:t>
      </w:r>
      <w:r>
        <w:rPr>
          <w:rFonts w:ascii="Times New Roman" w:hAnsi="Times New Roman" w:eastAsia="Times New Roman"/>
          <w:i w:val="0"/>
          <w:sz w:val="28"/>
        </w:rPr>
        <w:t xml:space="preserve"> і </w:t>
      </w:r>
      <w:r>
        <w:rPr>
          <w:rFonts w:ascii="Courier New" w:hAnsi="Courier New" w:eastAsia="Courier New"/>
          <w:sz w:val="22"/>
        </w:rPr>
        <w:t>FINAL_H5_significance.csv</w:t>
      </w:r>
      <w:r>
        <w:rPr>
          <w:rFonts w:ascii="Times New Roman" w:hAnsi="Times New Roman" w:eastAsia="Times New Roman"/>
          <w:i w:val="0"/>
          <w:sz w:val="28"/>
        </w:rPr>
        <w:t>.</w:t>
      </w:r>
    </w:p>
    <w:p>
      <w:pPr>
        <w:spacing w:line="240" w:lineRule="auto" w:after="100"/>
        <w:ind w:firstLine="0"/>
      </w:pPr>
      <w:r>
        <w:rPr>
          <w:rFonts w:ascii="Times New Roman" w:hAnsi="Times New Roman" w:eastAsia="Times New Roman"/>
          <w:i/>
          <w:color w:val="1F4E79"/>
          <w:sz w:val="18"/>
        </w:rPr>
        <w:t>[PROJECT SOURCE: results/tables/FINAL_H1_scaffold_performance.csv; results/tables/FINAL_H2_variability_vs_error.csv; results/tables/FINAL_H3_mihai_replication_summary.csv; results/tables/FINAL_H4_similarity_vs_error.csv; results/tables/FINAL_H5_random_vs_scaffold.csv; results/tables/FINAL_H5_random_oof_morgan.csv; results/tables/FINAL_H5_significance.csv]</w:t>
      </w:r>
    </w:p>
    <w:p>
      <w:pPr>
        <w:spacing w:before="80" w:after="160"/>
        <w:ind w:left="340" w:right="340" w:firstLine="0"/>
      </w:pPr>
      <w:r>
        <w:rPr>
          <w:rFonts w:ascii="Times New Roman" w:hAnsi="Times New Roman" w:eastAsia="Times New Roman"/>
          <w:b/>
          <w:color w:val="C00000"/>
          <w:sz w:val="18"/>
        </w:rPr>
        <w:t>[SOURCE NEEDED: скрипт `scripts/test_h5_validation_difference.py` не записує окремий файл із версіями середовища; якщо цей запуск виконувався не в тому самому середовищі, що `scripts/analyze_h1_h5.py`, версії треба зафіксувати окремо.]</w:t>
      </w:r>
    </w:p>
    <w:p>
      <w:pPr>
        <w:pStyle w:val="Heading1"/>
      </w:pPr>
      <w:r>
        <w:rPr>
          <w:rFonts w:ascii="Times New Roman" w:hAnsi="Times New Roman" w:eastAsia="Times New Roman"/>
          <w:i w:val="0"/>
          <w:sz w:val="28"/>
        </w:rPr>
        <w:t>Етичні аспекти</w:t>
      </w:r>
    </w:p>
    <w:p>
      <w:r>
        <w:rPr>
          <w:rFonts w:ascii="Times New Roman" w:hAnsi="Times New Roman" w:eastAsia="Times New Roman"/>
          <w:i w:val="0"/>
          <w:sz w:val="28"/>
        </w:rPr>
        <w:t>Дослідження було вторинним аналізом відкритих хіміко-біологічних даних і не включало роботу з людьми, персональними даними або лабораторними тваринами.</w:t>
      </w:r>
    </w:p>
    <w:p>
      <w:pPr>
        <w:spacing w:line="240" w:lineRule="auto" w:after="100"/>
        <w:ind w:firstLine="0"/>
      </w:pPr>
      <w:r>
        <w:rPr>
          <w:rFonts w:ascii="Times New Roman" w:hAnsi="Times New Roman" w:eastAsia="Times New Roman"/>
          <w:i/>
          <w:color w:val="1F4E79"/>
          <w:sz w:val="18"/>
        </w:rPr>
        <w:t>[PROJECT SOURCE: data/raw/trpa1_current_api_raw.csv; data/processed/trpa1_primary_dataset.csv]</w:t>
      </w:r>
      <w:r>
        <w:rPr>
          <w:rFonts w:ascii="Times New Roman" w:hAnsi="Times New Roman" w:eastAsia="Times New Roman"/>
          <w:i w:val="0"/>
          <w:sz w:val="18"/>
        </w:rPr>
        <w:t xml:space="preserve"> </w:t>
      </w:r>
      <w:r>
        <w:rPr>
          <w:rFonts w:ascii="Times New Roman" w:hAnsi="Times New Roman" w:eastAsia="Times New Roman"/>
          <w:b/>
          <w:color w:val="C00000"/>
          <w:sz w:val="18"/>
        </w:rPr>
        <w:t>[SOURCE NEEDED: підтвердити за правилами журналу формулювання щодо необхідності або відсутності необхідності окремого етичного схвалення для такого обчислювального дослідження]</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ind w:firstLine="0"/>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Матеріали та методи — TRPA1 ML (audit v2)</dc:title>
  <dc:subject>Source-audited draft with project-source and source-needed markers</dc:subject>
  <dc:creator>Andriy Dragan</dc:creator>
  <cp:keywords>TRPA1, pIC50, machine learning, methods, audit</cp:keywords>
  <dc:description>generated by python-docx</dc:description>
  <cp:lastModifiedBy/>
  <cp:revision>1</cp:revision>
  <dcterms:created xsi:type="dcterms:W3CDTF">2013-12-23T23:15:00Z</dcterms:created>
  <dcterms:modified xsi:type="dcterms:W3CDTF">2013-12-23T23:15:00Z</dcterms:modified>
  <cp:category/>
</cp:coreProperties>
</file>