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/>
          <w:b/>
          <w:sz w:val="28"/>
          <w:lang w:val="uk-UA"/>
        </w:rPr>
        <w:t>ВИСНОВКИ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sz w:val="28"/>
          <w:lang w:val="uk-UA"/>
        </w:rPr>
        <w:t>1. Молекулярна структура містить відтворюваний сигнал для прогнозування агрегованого pIC50 інгібування TRPA1 людини для хімічних каркасів, відсутніх у навчальній вибірці: моделі на Morgan fingerprints за scaffold-валідації досягали R² близько 0,57 і перевищували базове передбачення середнього значення.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sz w:val="28"/>
          <w:lang w:val="uk-UA"/>
        </w:rPr>
        <w:t>2. Жодне з досліджених попередньо навчених молекулярних представлень не забезпечило виразної та стабільної переваги над Morgan fingerprints; найкращі результати ChemBERTa у поєднанні з XGBoost і Morgan fingerprints у поєднанні з Random Forest були близькими.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sz w:val="28"/>
          <w:lang w:val="uk-UA"/>
        </w:rPr>
        <w:t>3. Розбіжність опублікованих значень pIC50 була пов’язана з похибкою слабко на рівні різних assays і сильніше лише в малій міждокументній підвибірці. Хімічна віддаленість від навчальної вибірки також демонструвала невеликий, але стабільний зв’язок із похибкою.</w:t>
      </w:r>
    </w:p>
    <w:p>
      <w:pPr>
        <w:spacing w:line="360" w:lineRule="auto" w:after="0"/>
        <w:ind w:left="425" w:hanging="425"/>
        <w:jc w:val="both"/>
      </w:pPr>
      <w:r>
        <w:rPr>
          <w:rFonts w:ascii="Times New Roman" w:hAnsi="Times New Roman" w:eastAsia="Times New Roman"/>
          <w:sz w:val="28"/>
          <w:lang w:val="uk-UA"/>
        </w:rPr>
        <w:t>4. Стратегія валідації істотно впливала на видиму якість моделей: random split давав оптимістичнішу оцінку, ніж scaffold split. Тому для оцінювання перенесення на структурно нові сполуки доцільно використовувати scaffold-aware validation і трактувати прогнози як інструмент пріоритизації, що потребує експериментального підтвердження.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Висновки до рукопису про прогнозування інгібування TRPA1</dc:title>
  <dc:subject>Висновки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