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МАТЕРІАЛИ ТА МЕТОДИ</w:t>
      </w:r>
    </w:p>
    <w:p>
      <w:pPr>
        <w:pStyle w:val="AuditSource"/>
      </w:pPr>
      <w:r>
        <w:rPr>
          <w:color w:val="800000"/>
        </w:rPr>
        <w:t>Версія для аудиту джерел. Позначки [PROJECT SOURCE: …] вказують на конкретні файли репозиторію, з яких узято методичне твердження. Позначки [SOURCE NEEDED: …] означають, що відповідне твердження не слід залишати у фінальному рукописі без додаткового підтвердження.</w:t>
      </w:r>
    </w:p>
    <w:p>
      <w:pPr>
        <w:keepNext/>
        <w:spacing w:before="160" w:after="40"/>
        <w:ind w:firstLine="0"/>
      </w:pPr>
      <w:r>
        <w:rPr>
          <w:rFonts w:ascii="Times New Roman" w:hAnsi="Times New Roman" w:eastAsia="Times New Roman"/>
          <w:b/>
          <w:sz w:val="28"/>
        </w:rPr>
        <w:t>Дизайн дослідження</w:t>
      </w:r>
    </w:p>
    <w:p>
      <w:pPr/>
      <w:r>
        <w:t>Проведено ретроспективне обчислювальне дослідження, у якому за молекулярною структурою прогнозували агреговане значення інгібувальної активності сполук щодо TRPA1 людини. Основною задачею була регресія для сполук із хімічними каркасами, відсутніми в навчальній частині даних. Окремо оцінювали зв’язок похибки прогнозу з розбіжністю опублікованих значень, хімічною віддаленістю тестової сполуки від навчальної вибірки та способом поділу даних.</w:t>
      </w:r>
    </w:p>
    <w:p>
      <w:pPr>
        <w:pStyle w:val="AuditSource"/>
      </w:pPr>
      <w:r>
        <w:rPr>
          <w:color w:val="505050"/>
        </w:rPr>
        <w:t>[PROJECT SOURCE: STATUS.md; docs/paper_plan.md; results/tables/grid_final_metadata_20260801-152155.json; scripts/analyze_hypotesis.py]</w:t>
      </w:r>
    </w:p>
    <w:p>
      <w:pPr>
        <w:keepNext/>
        <w:spacing w:before="160" w:after="40"/>
        <w:ind w:firstLine="0"/>
      </w:pPr>
      <w:r>
        <w:rPr>
          <w:rFonts w:ascii="Times New Roman" w:hAnsi="Times New Roman" w:eastAsia="Times New Roman"/>
          <w:b/>
          <w:sz w:val="28"/>
        </w:rPr>
        <w:t>Джерело даних і критерії відбору</w:t>
      </w:r>
    </w:p>
    <w:p>
      <w:pPr/>
      <w:r>
        <w:t>Дані отримано з бази ChEMBL версії 37, дата релізу якої у метаданих проєкту зафіксована як 1 травня 2026 року. Відбирали записи для мішені CHEMBL6007 (TRPA1 людини) з типом показника IC50, точною рівністю standard_relation = "=" та наявним значенням pChEMBL. Заморожена таблиця рівня окремих вимірювань містила 2196 записів; усі збережені стандартизовані значення IC50 були подані в нмоль/л. Документи, з яких походили записи, охоплювали 2010–2025 роки.</w:t>
      </w:r>
    </w:p>
    <w:p>
      <w:pPr>
        <w:pStyle w:val="AuditSource"/>
      </w:pPr>
      <w:r>
        <w:rPr>
          <w:color w:val="505050"/>
        </w:rPr>
        <w:t xml:space="preserve">[PROJECT SOURCE: data/raw/trpa1_current_api_metadata.json; data/raw/trpa1_current_api_raw.csv] </w:t>
      </w:r>
      <w:r>
        <w:rPr>
          <w:b/>
          <w:color w:val="BE0000"/>
        </w:rPr>
        <w:t>[SOURCE NEEDED: первинна публікація або офіційний опис ChEMBL і визначення поля pChEMBL]</w:t>
      </w:r>
    </w:p>
    <w:p>
      <w:pPr/>
      <w:r>
        <w:t>Після стандартизації та об’єднання записів сформовано набір із 1645 унікальних сполук, 97 біологічних тестів і 55 документів ChEMBL. Для кожної сполуки у головній таблиці збережено стандартизований SMILES, InChIKey, медіану, мінімум, максимум і стандартне відхилення pChEMBL, число вимірювань та хімічний каркас Bemis–Murcko. У наборі було 544 унікальні хімічні каркаси.</w:t>
      </w:r>
    </w:p>
    <w:p>
      <w:pPr>
        <w:pStyle w:val="AuditSource"/>
      </w:pPr>
      <w:r>
        <w:rPr>
          <w:color w:val="505050"/>
        </w:rPr>
        <w:t xml:space="preserve">[PROJECT SOURCE: data/processed/trpa1_primary_dataset.csv; data/assays/assay_table.csv; sources/source_registry.csv; results/tables/grid_final_metadata_20260801-152155.json] </w:t>
      </w:r>
      <w:r>
        <w:rPr>
          <w:b/>
          <w:color w:val="BE0000"/>
        </w:rPr>
        <w:t>[SOURCE NEEDED: оригінальне джерело для визначення каркасів Bemis–Murcko]</w:t>
      </w:r>
    </w:p>
    <w:p>
      <w:pPr>
        <w:keepNext/>
        <w:spacing w:before="160" w:after="40"/>
        <w:ind w:firstLine="0"/>
      </w:pPr>
      <w:r>
        <w:rPr>
          <w:rFonts w:ascii="Times New Roman" w:hAnsi="Times New Roman" w:eastAsia="Times New Roman"/>
          <w:b/>
          <w:sz w:val="28"/>
        </w:rPr>
        <w:t>Стандартизація структур і формування цільової змінної</w:t>
      </w:r>
    </w:p>
    <w:p>
      <w:pPr/>
      <w:r>
        <w:t>Одиницею аналізу була стандартизована молекулярна структура, ідентифікована за InChIKey. Для кожної структури цільову змінну визначали як медіану всіх збережених значень pChEMBL для IC50. Оскільки всі включені записи мали тип показника IC50, у рукописі це агреговане значення далі позначається як pIC50. Такий показник характеризує медіану літературних вимірювань однієї сполуки, а не її активність у єдиному стандартизованому протоколі.</w:t>
      </w:r>
    </w:p>
    <w:p>
      <w:pPr>
        <w:pStyle w:val="AuditSource"/>
      </w:pPr>
      <w:r>
        <w:rPr>
          <w:color w:val="505050"/>
        </w:rPr>
        <w:t xml:space="preserve">[PROJECT SOURCE: data/raw/trpa1_current_api_raw.csv; data/processed/trpa1_primary_dataset.csv] </w:t>
      </w:r>
      <w:r>
        <w:rPr>
          <w:b/>
          <w:color w:val="BE0000"/>
        </w:rPr>
        <w:t>[SOURCE NEEDED: офіційне джерело ChEMBL, яке підтверджує трактування pChEMBL для точних IC50 як pIC50]</w:t>
      </w:r>
    </w:p>
    <w:p>
      <w:pPr/>
      <w:r>
        <w:t>Наявна проєктна документація описує парсинг структур засобами RDKit, видалення солей або вибір основного фрагмента, побудову канонічного ізомеричного SMILES та InChIKey, після чого записи об’єднували за стандартизованою структурою. Водночас у поточній версії репозиторію немає одного канонічного скрипту, який повністю відтворює перехід від таблиці окремих вимірювань до trpa1_primary_dataset.csv.</w:t>
      </w:r>
    </w:p>
    <w:p>
      <w:pPr>
        <w:pStyle w:val="AuditSource"/>
      </w:pPr>
      <w:r>
        <w:rPr>
          <w:color w:val="505050"/>
        </w:rPr>
        <w:t xml:space="preserve">[PROJECT SOURCE: docs/methods_fact_sheet.md; data/processed/trpa1_primary_dataset.csv] </w:t>
      </w:r>
      <w:r>
        <w:rPr>
          <w:b/>
          <w:color w:val="BE0000"/>
        </w:rPr>
        <w:t>[SOURCE NEEDED: знайти або відновити точний build-script і підтвердити послідовність видалення солей, вибору фрагмента та генерації InChIKey перед поданням статті] [SOURCE NEEDED: офіційна цитата RDKit]</w:t>
      </w:r>
    </w:p>
    <w:p>
      <w:pPr>
        <w:keepNext/>
        <w:spacing w:before="160" w:after="40"/>
        <w:ind w:firstLine="0"/>
      </w:pPr>
      <w:r>
        <w:rPr>
          <w:rFonts w:ascii="Times New Roman" w:hAnsi="Times New Roman" w:eastAsia="Times New Roman"/>
          <w:b/>
          <w:sz w:val="28"/>
        </w:rPr>
        <w:t>Молекулярні представлення</w:t>
      </w:r>
    </w:p>
    <w:p>
      <w:pPr/>
      <w:r>
        <w:t>Для кожної сполуки використовували чотири способи числового опису молекулярної структури. Першим був бітовий відбиток Morgan ECFP4, сформований у RDKit із радіусом 2 та довжиною 2048 біт без урахування хіральності.</w:t>
      </w:r>
    </w:p>
    <w:p>
      <w:pPr>
        <w:pStyle w:val="AuditSource"/>
      </w:pPr>
      <w:r>
        <w:rPr>
          <w:color w:val="505050"/>
        </w:rPr>
        <w:t xml:space="preserve">[PROJECT SOURCE: scripts/Grid_Benchmark.py; results/tables/grid_final_metadata_20260801-152155.json] </w:t>
      </w:r>
      <w:r>
        <w:rPr>
          <w:b/>
          <w:color w:val="BE0000"/>
        </w:rPr>
        <w:t>[SOURCE NEEDED: первинна методична публікація для Morgan/ECFP і офіційна цитата RDKit]</w:t>
      </w:r>
    </w:p>
    <w:p>
      <w:pPr/>
      <w:r>
        <w:t>Другим представленням був набір із 15 фізико-хімічних дескрипторів RDKit: молекулярна маса, logP, молярна рефракція, площа полярної поверхні, кількість акцепторів і донорів водневого зв’язку, кількість обертових зв’язків, ароматичних, аліфатичних і насичених кілець, загальна кількість кілець, частка sp3-гібридизованих атомів вуглецю, кількість важких атомів, гетероатомів і LabuteASA.</w:t>
      </w:r>
    </w:p>
    <w:p>
      <w:pPr>
        <w:pStyle w:val="AuditSource"/>
      </w:pPr>
      <w:r>
        <w:rPr>
          <w:color w:val="505050"/>
        </w:rPr>
        <w:t xml:space="preserve">[PROJECT SOURCE: scripts/Grid_Benchmark.py; scripts/chemberta_benchmark.py] </w:t>
      </w:r>
      <w:r>
        <w:rPr>
          <w:b/>
          <w:color w:val="BE0000"/>
        </w:rPr>
        <w:t>[SOURCE NEEDED: офіційна цитата RDKit і, за потреби, першоджерела окремих дескрипторів]</w:t>
      </w:r>
    </w:p>
    <w:p>
      <w:pPr/>
      <w:r>
        <w:t>Третім представленням були 384-вимірні вектори ChemBERTa-CLS, отримані замороженою попередньо навченою моделлю DeepChem/ChemBERTa-77M-MTR із першого токена послідовності; для токенізації SMILES застосовували обрізання до максимальної довжини 512 токенів. Параметри цієї моделі не донавчали на наборі TRPA1 у межах основної сітки порівняння.</w:t>
      </w:r>
    </w:p>
    <w:p>
      <w:pPr>
        <w:pStyle w:val="AuditSource"/>
      </w:pPr>
      <w:r>
        <w:rPr>
          <w:color w:val="505050"/>
        </w:rPr>
        <w:t xml:space="preserve">[PROJECT SOURCE: scripts/chemberta_benchmark.py; scripts/Grid_Benchmark.py; results/tables/grid_final_metadata_20260801-152155.json] </w:t>
      </w:r>
      <w:r>
        <w:rPr>
          <w:b/>
          <w:color w:val="BE0000"/>
        </w:rPr>
        <w:t>[SOURCE NEEDED: перевірена первинна публікація для використаної версії ChemBERTa]</w:t>
      </w:r>
    </w:p>
    <w:p>
      <w:pPr/>
      <w:r>
        <w:t>Четвертим представленням були 768-вимірні вектори MolFormer-Mean, сформовані усередненням прихованих представлень попередньо навченої моделі. У замороженому benchmark-файлі збережено контрольну суму NPZ із цими векторами, однак точний ідентифікатор і ревізію вихідної моделі MolFormer ще потрібно підтвердити за середовищем, у якому виконували генерацію векторів.</w:t>
      </w:r>
    </w:p>
    <w:p>
      <w:pPr>
        <w:pStyle w:val="AuditSource"/>
      </w:pPr>
      <w:r>
        <w:rPr>
          <w:color w:val="505050"/>
        </w:rPr>
        <w:t xml:space="preserve">[PROJECT SOURCE: scripts/Grid_Benchmark.py; results/tables/grid_final_metadata_20260801-152155.json; docs/methods_fact_sheet.md] </w:t>
      </w:r>
      <w:r>
        <w:rPr>
          <w:b/>
          <w:color w:val="BE0000"/>
        </w:rPr>
        <w:t>[SOURCE NEEDED: точна назва й ревізія моделі MolFormer, використаної для embeddings_all.npz] [SOURCE NEEDED: перевірена первинна публікація MolFormer]</w:t>
      </w:r>
    </w:p>
    <w:p>
      <w:pPr>
        <w:keepNext/>
        <w:spacing w:before="160" w:after="40"/>
        <w:ind w:firstLine="0"/>
      </w:pPr>
      <w:r>
        <w:rPr>
          <w:rFonts w:ascii="Times New Roman" w:hAnsi="Times New Roman" w:eastAsia="Times New Roman"/>
          <w:b/>
          <w:sz w:val="28"/>
        </w:rPr>
        <w:t>Регресійні алгоритми</w:t>
      </w:r>
    </w:p>
    <w:p>
      <w:pPr/>
      <w:r>
        <w:t>Кожне з чотирьох молекулярних представлень подавали двом регресійним алгоритмам на однакових розбиттях даних: випадковому лісу (Random Forest) та XGBoost. Для RandomForestRegressor використовували 500 дерев, random_state = 42 і n_jobs = −1; решту параметрів залишали за замовчуванням бібліотеки scikit-learn, а їх точні значення збережено в метаданих запуску.</w:t>
      </w:r>
    </w:p>
    <w:p>
      <w:pPr>
        <w:pStyle w:val="AuditSource"/>
      </w:pPr>
      <w:r>
        <w:rPr>
          <w:color w:val="505050"/>
        </w:rPr>
        <w:t xml:space="preserve">[PROJECT SOURCE: scripts/Grid_Benchmark.py; results/tables/grid_final_metadata_20260801-152155.json] </w:t>
      </w:r>
      <w:r>
        <w:rPr>
          <w:b/>
          <w:color w:val="BE0000"/>
        </w:rPr>
        <w:t>[SOURCE NEEDED: первинна публікація Random Forest; офіційна цитата scikit-learn]</w:t>
      </w:r>
    </w:p>
    <w:p>
      <w:pPr/>
      <w:r>
        <w:t>Для XGBRegressor використовували 500 дерев, максимальну глибину 6, швидкість навчання 0,05, цільову функцію reg:squarederror, метрику rmse, алгоритм побудови дерев hist, random_state = 42 і n_jobs = −1.</w:t>
      </w:r>
    </w:p>
    <w:p>
      <w:pPr>
        <w:pStyle w:val="AuditSource"/>
      </w:pPr>
      <w:r>
        <w:rPr>
          <w:color w:val="505050"/>
        </w:rPr>
        <w:t xml:space="preserve">[PROJECT SOURCE: scripts/Grid_Benchmark.py; results/tables/grid_final_metadata_20260801-152155.json] </w:t>
      </w:r>
      <w:r>
        <w:rPr>
          <w:b/>
          <w:color w:val="BE0000"/>
        </w:rPr>
        <w:t>[SOURCE NEEDED: первинна публікація XGBoost]</w:t>
      </w:r>
    </w:p>
    <w:p>
      <w:pPr/>
      <w:r>
        <w:t>Для контролю результатів також застосовували базову модель, яка в кожному навчальному фолді передбачала середнє значення цільової змінної.</w:t>
      </w:r>
    </w:p>
    <w:p>
      <w:pPr>
        <w:pStyle w:val="AuditSource"/>
      </w:pPr>
      <w:r>
        <w:rPr>
          <w:color w:val="505050"/>
        </w:rPr>
        <w:t>[PROJECT SOURCE: scripts/Grid_Benchmark.py; results/tables/grid_final_results_20260801-152155.csv]</w:t>
      </w:r>
    </w:p>
    <w:p>
      <w:pPr>
        <w:keepNext/>
        <w:spacing w:before="160" w:after="40"/>
        <w:ind w:firstLine="0"/>
      </w:pPr>
      <w:r>
        <w:rPr>
          <w:rFonts w:ascii="Times New Roman" w:hAnsi="Times New Roman" w:eastAsia="Times New Roman"/>
          <w:b/>
          <w:sz w:val="28"/>
        </w:rPr>
        <w:t>Поділ даних і основна оцінка моделей</w:t>
      </w:r>
    </w:p>
    <w:p>
      <w:pPr/>
      <w:r>
        <w:t>Основну оцінку проводили методом п’ятикратної перехресної перевірки з групуванням за хімічними каркасами Bemis–Murcko. Сполуки з однаковим каркасом завжди належали до одного фолду, тому каркас тестової сполуки не був представлений у навчальній частині відповідного фолду.</w:t>
      </w:r>
    </w:p>
    <w:p>
      <w:pPr>
        <w:pStyle w:val="AuditSource"/>
      </w:pPr>
      <w:r>
        <w:rPr>
          <w:color w:val="505050"/>
        </w:rPr>
        <w:t xml:space="preserve">[PROJECT SOURCE: scripts/Grid_Benchmark.py; results/tables/grid_final_fold_assignments_20260801-152155.csv; results/tables/grid_final_metadata_20260801-152155.json] </w:t>
      </w:r>
      <w:r>
        <w:rPr>
          <w:b/>
          <w:color w:val="BE0000"/>
        </w:rPr>
        <w:t>[SOURCE NEEDED: первинна публікація Bemis–Murcko; методичне джерело щодо використання scaffold split для оцінки хімічної екстраполяції]</w:t>
      </w:r>
    </w:p>
    <w:p>
      <w:pPr/>
      <w:r>
        <w:t>Використовували три варіанти розподілу каркасів між п’ятьма фолдами. Перший варіант формували детермінованим GroupKFold. Для другого і третього варіантів каркаси незалежно перерозподіляли з початковими значеннями генератора 1001 і 1002, балансуючи кількість сполук у фолдах. Ті самі призначення фолдів застосовували до всіх восьми комбінацій «молекулярне представлення × алгоритм».</w:t>
      </w:r>
    </w:p>
    <w:p>
      <w:pPr>
        <w:pStyle w:val="AuditSource"/>
      </w:pPr>
      <w:r>
        <w:rPr>
          <w:color w:val="505050"/>
        </w:rPr>
        <w:t>[PROJECT SOURCE: scripts/Grid_Benchmark.py; results/tables/grid_final_fold_assignments_20260801-152155.csv; results/tables/grid_final_metadata_20260801-152155.json]</w:t>
      </w:r>
    </w:p>
    <w:p>
      <w:pPr/>
      <w:r>
        <w:t>Для кожної сполуки в кожному з трьох варіантів розподілу зберігали прогноз, отриманий моделлю, яка не навчалася на цій сполуці та її каркасі (out-of-fold, OOF). У кожному варіанті розподілу метрики обчислювали на сукупності всіх OOF-прогнозів, після чого подавали середнє та стандартне відхилення між трьома варіантами.</w:t>
      </w:r>
    </w:p>
    <w:p>
      <w:pPr>
        <w:pStyle w:val="AuditSource"/>
      </w:pPr>
      <w:r>
        <w:rPr>
          <w:color w:val="505050"/>
        </w:rPr>
        <w:t>[PROJECT SOURCE: scripts/Grid_Benchmark.py; results/tables/grid_final_oof_20260801-152155.csv; results/tables/grid_final_results_20260801-152155.csv]</w:t>
      </w:r>
    </w:p>
    <w:p>
      <w:pPr/>
      <w:r>
        <w:t>Основними показниками якості були середньоквадратична похибка (RMSE), коефіцієнт детермінації R² та ранговий коефіцієнт кореляції Спірмена. Середню абсолютну похибку (MAE) додатково використовували у порівнянні випадкового поділу з поділом за каркасами.</w:t>
      </w:r>
    </w:p>
    <w:p>
      <w:pPr>
        <w:pStyle w:val="AuditSource"/>
      </w:pPr>
      <w:r>
        <w:rPr>
          <w:color w:val="505050"/>
        </w:rPr>
        <w:t xml:space="preserve">[PROJECT SOURCE: scripts/Grid_Benchmark.py; scripts/analyze_hypotesis.py; results/tables/grid_final_results_20260801-152155.csv; results/tables/FINAL_H5_random_vs_scaffold.csv] </w:t>
      </w:r>
      <w:r>
        <w:rPr>
          <w:b/>
          <w:color w:val="BE0000"/>
        </w:rPr>
        <w:t>[SOURCE NEEDED: за вимогами журналу визначити, чи потрібні окремі стандартні статистичні посилання для RMSE, R², MAE та кореляції Спірмена]</w:t>
      </w:r>
    </w:p>
    <w:p>
      <w:pPr>
        <w:keepNext/>
        <w:spacing w:before="160" w:after="40"/>
        <w:ind w:firstLine="0"/>
      </w:pPr>
      <w:r>
        <w:rPr>
          <w:rFonts w:ascii="Times New Roman" w:hAnsi="Times New Roman" w:eastAsia="Times New Roman"/>
          <w:b/>
          <w:sz w:val="28"/>
        </w:rPr>
        <w:t>Аналіз розбіжності опублікованих значень</w:t>
      </w:r>
    </w:p>
    <w:p>
      <w:pPr/>
      <w:r>
        <w:t>Щоб технічні дублікати одного тесту не вважали незалежними вимірюваннями, записи спочатку об’єднували медіаною всередині кожної пари «сполука × assay». Розбіжність між тестами оцінювали лише для 393 сполук, представлених щонайменше у двох різних assays.</w:t>
      </w:r>
    </w:p>
    <w:p>
      <w:pPr>
        <w:pStyle w:val="AuditSource"/>
      </w:pPr>
      <w:r>
        <w:rPr>
          <w:color w:val="505050"/>
        </w:rPr>
        <w:t>[PROJECT SOURCE: scripts/analyze_hypotesis.py; results/tables/FINAL_H2_variability_vs_error.csv; results/tables/FINAL_H1_H5_METADATA.json]</w:t>
      </w:r>
    </w:p>
    <w:p>
      <w:pPr/>
      <w:r>
        <w:t>У суворішому міждокументному аналізі записи спочатку об’єднували медіаною всередині кожної пари «сполука × документ», після чого розбіжність оцінювали для 52 сполук, наявних щонайменше у двох різних документах.</w:t>
      </w:r>
    </w:p>
    <w:p>
      <w:pPr>
        <w:pStyle w:val="AuditSource"/>
      </w:pPr>
      <w:r>
        <w:rPr>
          <w:color w:val="505050"/>
        </w:rPr>
        <w:t>[PROJECT SOURCE: scripts/analyze_hypotesis.py; results/tables/FINAL_H2_variability_vs_error.csv; results/tables/FINAL_H1_H5_METADATA.json]</w:t>
      </w:r>
    </w:p>
    <w:p>
      <w:pPr/>
      <w:r>
        <w:t>Основним показником розбіжності був розмах pIC50 між агрегованими значеннями. Як додаткові показники обчислювали вибіркове стандартне відхилення, медіанне абсолютне відхилення та медіану всіх попарних абсолютних різниць. Для кожної моделі абсолютну OOF-похибку сполуки усереднювали між трьома варіантами scaffold-розподілу, після чого перевіряли її монотонний зв’язок із показниками розбіжності за коефіцієнтом Спірмена.</w:t>
      </w:r>
    </w:p>
    <w:p>
      <w:pPr>
        <w:pStyle w:val="AuditSource"/>
      </w:pPr>
      <w:r>
        <w:rPr>
          <w:color w:val="505050"/>
        </w:rPr>
        <w:t>[PROJECT SOURCE: scripts/analyze_hypotesis.py; results/tables/FINAL_H2_variability_vs_error.csv]</w:t>
      </w:r>
    </w:p>
    <w:p>
      <w:pPr/>
      <w:r>
        <w:t>Для основного показника розмаху 95% довірчі інтервали коефіцієнта Спірмена оцінювали кластерним bootstrap із повторним вибором хімічних каркасів, 1500 ітерацій. Додатково обчислювали часткову рангову кореляцію з контролем медіанного pIC50 та кількості assays або документів.</w:t>
      </w:r>
    </w:p>
    <w:p>
      <w:pPr>
        <w:pStyle w:val="AuditSource"/>
      </w:pPr>
      <w:r>
        <w:rPr>
          <w:color w:val="505050"/>
        </w:rPr>
        <w:t>[PROJECT SOURCE: scripts/analyze_hypotesis.py; results/tables/FINAL_H2_variability_vs_error.csv; results/tables/FINAL_H1_H5_METADATA.json]</w:t>
      </w:r>
    </w:p>
    <w:p>
      <w:pPr>
        <w:pStyle w:val="AuditSource"/>
      </w:pPr>
      <w:r>
        <w:rPr>
          <w:b/>
          <w:color w:val="BE0000"/>
        </w:rPr>
        <w:t>[SOURCE NEEDED: у methods_fact_sheet зазначено поправку Holm, але заморожений файл FINAL_H2_variability_vs_error.csv не містить скоригованих p-значень. Не заявляти множинну поправку у фінальному рукописі без повторного запуску та збереження результату.]</w:t>
      </w:r>
    </w:p>
    <w:p>
      <w:pPr>
        <w:keepNext/>
        <w:spacing w:before="160" w:after="40"/>
        <w:ind w:firstLine="0"/>
      </w:pPr>
      <w:r>
        <w:rPr>
          <w:rFonts w:ascii="Times New Roman" w:hAnsi="Times New Roman" w:eastAsia="Times New Roman"/>
          <w:b/>
          <w:sz w:val="28"/>
        </w:rPr>
        <w:t>Допоміжне порівняння з класифікаційною постановкою</w:t>
      </w:r>
    </w:p>
    <w:p>
      <w:pPr/>
      <w:r>
        <w:t>Для оцінки впливу постановки задачі окремо відтворювали класифікаційний підхід «відомий антагоніст TRPA1 проти випадково відібраної decoy-сполуки». У цьому аналізі використовували 2048-бітні Morgan ECFP4, випадковий стратифікований поділ 80/20 з random_state = 34 та десятикратну стратифіковану перехресну перевірку для ROC AUC.</w:t>
      </w:r>
    </w:p>
    <w:p>
      <w:pPr>
        <w:pStyle w:val="AuditSource"/>
      </w:pPr>
      <w:r>
        <w:rPr>
          <w:color w:val="505050"/>
        </w:rPr>
        <w:t xml:space="preserve">[PROJECT SOURCE: scripts/MihaiExperimentReplication.py; results/tables/FINAL_H3_mihai_replication_summary.csv] </w:t>
      </w:r>
      <w:r>
        <w:rPr>
          <w:b/>
          <w:color w:val="BE0000"/>
        </w:rPr>
        <w:t>[SOURCE NEEDED: повний перевірений бібліографічний запис Mihai et al., DOI 10.3390/ai1020018]</w:t>
      </w:r>
    </w:p>
    <w:p>
      <w:pPr/>
      <w:r>
        <w:t>Порівнювали випадковий ліс, метод опорних векторів із радіально-базисним ядром та повнозв’язну нейронну мережу. Цей аналіз відтворював загальну постановку попередньої роботи, але використовував Morgan fingerprints замість її початкового способу молекулярного опису, тому його розглядали як допоміжне порівняння складності задач, а не як дослівне відтворення всіх методичних деталей.</w:t>
      </w:r>
    </w:p>
    <w:p>
      <w:pPr>
        <w:pStyle w:val="AuditSource"/>
      </w:pPr>
      <w:r>
        <w:rPr>
          <w:color w:val="505050"/>
        </w:rPr>
        <w:t xml:space="preserve">[PROJECT SOURCE: scripts/MihaiExperimentReplication.py] </w:t>
      </w:r>
      <w:r>
        <w:rPr>
          <w:b/>
          <w:color w:val="BE0000"/>
        </w:rPr>
        <w:t>[SOURCE NEEDED: повний текст Mihai et al. для точного зіставлення початкових molecular descriptors і параметрів моделей]</w:t>
      </w:r>
    </w:p>
    <w:p>
      <w:pPr>
        <w:keepNext/>
        <w:spacing w:before="160" w:after="40"/>
        <w:ind w:firstLine="0"/>
      </w:pPr>
      <w:r>
        <w:rPr>
          <w:rFonts w:ascii="Times New Roman" w:hAnsi="Times New Roman" w:eastAsia="Times New Roman"/>
          <w:b/>
          <w:sz w:val="28"/>
        </w:rPr>
        <w:t>Аналіз хімічної області застосовності</w:t>
      </w:r>
    </w:p>
    <w:p>
      <w:pPr/>
      <w:r>
        <w:t>Для кожної тестової сполуки в кожному scaffold-фолді визначали максимальну коефіцієнтну подібність Танімото між її Morgan fingerprint і fingerprints усіх сполук навчальної частини. Для кожної сполуки максимальну подібність та абсолютну OOF-похибку усереднювали між трьома варіантами scaffold-розподілу.</w:t>
      </w:r>
    </w:p>
    <w:p>
      <w:pPr>
        <w:pStyle w:val="AuditSource"/>
      </w:pPr>
      <w:r>
        <w:rPr>
          <w:color w:val="505050"/>
        </w:rPr>
        <w:t xml:space="preserve">[PROJECT SOURCE: scripts/analyze_hypotesis.py; results/tables/FINAL_H4_similarity_vs_error.csv] </w:t>
      </w:r>
      <w:r>
        <w:rPr>
          <w:b/>
          <w:color w:val="BE0000"/>
        </w:rPr>
        <w:t>[SOURCE NEEDED: первинне або методичне джерело для коефіцієнта Танімото у хемоінформатиці]</w:t>
      </w:r>
    </w:p>
    <w:p>
      <w:pPr/>
      <w:r>
        <w:t>Зв’язок між максимальною подібністю до навчальної вибірки та абсолютною похибкою оцінювали за коефіцієнтом Спірмена. 95% довірчі інтервали отримували scaffold-кластерним bootstrap із 1500 ітераціями; додатково обчислювали часткову рангову кореляцію з контролем медіанного pIC50.</w:t>
      </w:r>
    </w:p>
    <w:p>
      <w:pPr>
        <w:pStyle w:val="AuditSource"/>
      </w:pPr>
      <w:r>
        <w:rPr>
          <w:color w:val="505050"/>
        </w:rPr>
        <w:t>[PROJECT SOURCE: scripts/analyze_hypotesis.py; results/tables/FINAL_H4_similarity_vs_error.csv; results/tables/FINAL_H1_H5_METADATA.json]</w:t>
      </w:r>
    </w:p>
    <w:p>
      <w:pPr>
        <w:keepNext/>
        <w:spacing w:before="160" w:after="40"/>
        <w:ind w:firstLine="0"/>
      </w:pPr>
      <w:r>
        <w:rPr>
          <w:rFonts w:ascii="Times New Roman" w:hAnsi="Times New Roman" w:eastAsia="Times New Roman"/>
          <w:b/>
          <w:sz w:val="28"/>
        </w:rPr>
        <w:t>Порівняння випадкового поділу з поділом за каркасами</w:t>
      </w:r>
    </w:p>
    <w:p>
      <w:pPr/>
      <w:r>
        <w:t>Для Random Forest і XGBoost на Morgan fingerprints додатково виконували випадкову п’ятикратну перехресну перевірку на тому самому наборі з 1645 сполук. Використовували три незалежні перемішування з random_state 1000, 1001 і 1002, зберігаючи ті самі параметри регресійних алгоритмів, що й в основному scaffold-аналізі.</w:t>
      </w:r>
    </w:p>
    <w:p>
      <w:pPr>
        <w:pStyle w:val="AuditSource"/>
      </w:pPr>
      <w:r>
        <w:rPr>
          <w:color w:val="505050"/>
        </w:rPr>
        <w:t>[PROJECT SOURCE: scripts/analyze_hypotesis.py; results/tables/FINAL_H5_random_vs_scaffold.csv; data/processed/trpa1_primary_dataset.csv]</w:t>
      </w:r>
    </w:p>
    <w:p>
      <w:pPr/>
      <w:r>
        <w:t>Для кожного способу поділу розраховували RMSE, MAE, R² і коефіцієнт Спірмена на сукупності OOF-прогнозів. Результати усереднювали між трьома незалежними варіантами розподілу та порівнювали описово; окремого тесту статистичної значущості різниці між random і scaffold split у заморожених результатах не збережено.</w:t>
      </w:r>
    </w:p>
    <w:p>
      <w:pPr>
        <w:pStyle w:val="AuditSource"/>
      </w:pPr>
      <w:r>
        <w:rPr>
          <w:color w:val="505050"/>
        </w:rPr>
        <w:t>[PROJECT SOURCE: scripts/analyze_hypotesis.py; results/tables/FINAL_H5_random_vs_scaffold.csv]</w:t>
      </w:r>
    </w:p>
    <w:p>
      <w:pPr>
        <w:keepNext/>
        <w:spacing w:before="160" w:after="40"/>
        <w:ind w:firstLine="0"/>
      </w:pPr>
      <w:r>
        <w:rPr>
          <w:rFonts w:ascii="Times New Roman" w:hAnsi="Times New Roman" w:eastAsia="Times New Roman"/>
          <w:b/>
          <w:sz w:val="28"/>
        </w:rPr>
        <w:t>Програмне забезпечення та відтворюваність</w:t>
      </w:r>
    </w:p>
    <w:p>
      <w:pPr/>
      <w:r>
        <w:t>Основний benchmark виконано в Python 3.12.13 із NumPy 2.0.2, pandas 2.2.2, scikit-learn 1.6.1, SciPy 1.16.3, XGBoost 3.3.0 і RDKit 2026.03.4. Точні параметри моделей, призначення фолдів, OOF-прогнози, контрольні суми вхідних файлів і таблиці результатів збережено в репозиторії проєкту.</w:t>
      </w:r>
    </w:p>
    <w:p>
      <w:pPr>
        <w:pStyle w:val="AuditSource"/>
      </w:pPr>
      <w:r>
        <w:rPr>
          <w:color w:val="505050"/>
        </w:rPr>
        <w:t xml:space="preserve">[PROJECT SOURCE: results/tables/grid_final_metadata_20260801-152155.json; results/tables/grid_final_fold_assignments_20260801-152155.csv; results/tables/grid_final_oof_20260801-152155.csv; results/tables/grid_final_results_20260801-152155.csv] </w:t>
      </w:r>
      <w:r>
        <w:rPr>
          <w:b/>
          <w:color w:val="BE0000"/>
        </w:rPr>
        <w:t>[SOURCE NEEDED: офіційні програмні цитати для Python-пакетів, які журнал вимагатиме включити до списку літератури]</w:t>
      </w:r>
    </w:p>
    <w:p>
      <w:pPr/>
      <w:r>
        <w:t>Додаткові аналізи розбіжності значень, хімічної подібності та random-versus-scaffold validation реалізовано в scripts/analyze_hypotesis.py. Канонічними вихідними файлами є FINAL_H2_variability_vs_error.csv, FINAL_H3_mihai_replication_summary.csv, FINAL_H4_similarity_vs_error.csv і FINAL_H5_random_vs_scaffold.csv.</w:t>
      </w:r>
    </w:p>
    <w:p>
      <w:pPr>
        <w:pStyle w:val="AuditSource"/>
      </w:pPr>
      <w:r>
        <w:rPr>
          <w:color w:val="505050"/>
        </w:rPr>
        <w:t>[PROJECT SOURCE: scripts/analyze_hypotesis.py; results/tables/FINAL_H2_variability_vs_error.csv; results/tables/FINAL_H3_mihai_replication_summary.csv; results/tables/FINAL_H4_similarity_vs_error.csv; results/tables/FINAL_H5_random_vs_scaffold.csv]</w:t>
      </w:r>
    </w:p>
    <w:p>
      <w:pPr>
        <w:pStyle w:val="AuditSource"/>
      </w:pPr>
      <w:r>
        <w:rPr>
          <w:b/>
          <w:color w:val="BE0000"/>
        </w:rPr>
        <w:t>[SOURCE NEEDED: зафіксувати точні версії програмного середовища саме для запуску H2–H5, якщо вони відрізнялися від середовища основного benchmark.]</w:t>
      </w:r>
    </w:p>
    <w:p>
      <w:pPr>
        <w:pStyle w:val="AuditSource"/>
      </w:pPr>
      <w:r>
        <w:rPr>
          <w:b/>
          <w:color w:val="BE0000"/>
        </w:rPr>
        <w:t>[SOURCE NEEDED: STATUS.md посилається на results/tables/FINAL_H1_scaffold_performance.csv, але такого файла у поточній main-гілці не знайдено. H1 відтворюється з grid_final_results_20260801-152155.csv; або створити й закомітити окремий H1-файл, або виправити STATUS.md.]</w:t>
      </w:r>
    </w:p>
    <w:p>
      <w:pPr>
        <w:keepNext/>
        <w:spacing w:before="160" w:after="40"/>
        <w:ind w:firstLine="0"/>
      </w:pPr>
      <w:r>
        <w:rPr>
          <w:rFonts w:ascii="Times New Roman" w:hAnsi="Times New Roman" w:eastAsia="Times New Roman"/>
          <w:b/>
          <w:sz w:val="28"/>
        </w:rPr>
        <w:t>Етичні аспекти</w:t>
      </w:r>
    </w:p>
    <w:p>
      <w:pPr/>
      <w:r>
        <w:t>Дослідження було вторинним аналізом відкритих хіміко-біологічних даних і не включало роботу з людьми, персональними даними або лабораторними тваринами.</w:t>
      </w:r>
    </w:p>
    <w:p>
      <w:pPr>
        <w:pStyle w:val="AuditSource"/>
      </w:pPr>
      <w:r>
        <w:rPr>
          <w:color w:val="505050"/>
        </w:rPr>
        <w:t xml:space="preserve">[PROJECT SOURCE: data/raw/trpa1_current_api_raw.csv; data/processed/trpa1_primary_dataset.csv] </w:t>
      </w:r>
      <w:r>
        <w:rPr>
          <w:b/>
          <w:color w:val="BE0000"/>
        </w:rPr>
        <w:t>[SOURCE NEEDED: підтвердити за правилами журналу формулювання щодо необхідності або відсутності необхідності окремого етичного схвалення для такого обчислювального дослідження]</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TRPA1 manuscript — Methods audit draft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Source">
    <w:name w:val="Audit Source"/>
    <w:pPr>
      <w:spacing w:after="80" w:line="240" w:lineRule="auto"/>
      <w:ind w:firstLine="0" w:left="283"/>
    </w:pPr>
    <w:rPr>
      <w:rFonts w:ascii="Times New Roman" w:hAnsi="Times New Roman" w:eastAsia="Times New Roman"/>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TRPA1 — Матеріали та методи (audit draft v1)</dc:title>
  <dc:subject>Draft with explicit project sources and SOURCE NEEDED markers</dc:subject>
  <dc:creator>Andriy Dragan / project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