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</w:rPr>
        <w:t>РОБОЧИЙ СПИСОК ДЖЕРЕЛ ДЛЯ РУКОПИСУ</w:t>
      </w:r>
    </w:p>
    <w:p>
      <w:pPr>
        <w:pStyle w:val="Normal"/>
        <w:jc w:val="center"/>
        <w:rPr/>
      </w:pPr>
      <w:r>
        <w:rPr>
          <w:i/>
          <w:sz w:val="24"/>
        </w:rPr>
        <w:t>20 позицій; порядок номерів слід остаточно узгодити з порядком першої згадки у повному рукописі</w:t>
      </w:r>
    </w:p>
    <w:p>
      <w:pPr>
        <w:pStyle w:val="Normal"/>
        <w:rPr/>
      </w:pPr>
      <w:r>
        <w:rPr/>
        <w:t>Добірка покриває шість маркерів [SOURCE NEEDED] із розділу «Результати та обговорення», а також основні джерела для Вступу: фізіологію TRPA1 як мішені болю, попередні ML/QSAR-роботи, ChEMBL, RDKit, Morgan fingerprints і XGBoost. Для кожної позиції наведено DOI та конкретне призначення цитування.</w:t>
      </w:r>
    </w:p>
    <w:p>
      <w:pPr>
        <w:pStyle w:val="Heading1"/>
        <w:rPr/>
      </w:pPr>
      <w:r>
        <w:rPr/>
        <w:t>Покриття шести маркерів [SOURCE NEEDED]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Маркер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Що потрібно підтвердити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Джерела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Pretrained molecular embeddings проти Morgan/ECFP у scaffold-split QSAR-регресії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9-11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Decoy bias, випадкові property-unmatched decoys і завищення ligand-versus-decoy classification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14-15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Залежність TRPA1-відповіді від агоніста, Ca2+, клітинного/assay-контексту, timing і десенситизації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1, 12-13, 16-18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Nearest-neighbor Tanimoto similarity як індикатор applicability domain у QSAR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19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Random split, scaffold split і завищення оцінки generalization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10, 14, 20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Інтерполяція у відомих хімічних серіях проти екстраполяції на unseen scaffolds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9-10, 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Список джерел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1. </w:t>
      </w:r>
      <w:r>
        <w:rPr/>
        <w:t>Talavera K, Startek JB, Alvarez-Collazo J, Boonen B, Alpizar YA, Sanchez A, Naert R, Nilius B. Mammalian transient receptor potential TRPA1 channels: from structure to disease. Physiol Rev. 2020;100(2):725-803. DOI: 10.1152/physrev.00005.2019.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Вступу як комплексний огляд фізіології, регуляції та участі TRPA1 у ноцицепції, запаленні й патологічних станах, а також для контексту залежності функції каналу від Ca2+ та інших модулювальних чинників.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2. </w:t>
      </w:r>
      <w:r>
        <w:rPr/>
        <w:t>de Araujo DSM, Nassini R, Geppetti P, De Logu F. TRPA1 as a therapeutic target for nociceptive pain. Expert Opin Ther Targets. 2020;24(10):997-1008. DOI: 10.1080/14728222.2020.1815191.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у Вступі для обґрунтування TRPA1 як фармакологічної мішені при ноцицептивному та хронічному болю.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3. </w:t>
      </w:r>
      <w:r>
        <w:rPr/>
        <w:t>Mihai DP, Trif C, Stancov G, Radulescu D, Nitulescu GM. Artificial intelligence algorithms for discovering new active compounds targeting TRPA1 pain receptors. AI. 2020;1(2):276-285. DOI: 10.3390/ai1020018.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попередню ML-роботу щодо TRPA1 і як вихідну постановку для допоміжного порівняння ligand-versus-random-decoy classification.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4.   </w:t>
      </w:r>
      <w:r>
        <w:rPr>
          <w:rStyle w:val="Strong"/>
          <w:b w:val="false"/>
          <w:bCs w:val="false"/>
        </w:rPr>
        <w:t>Mihai DP, Nitulescu GM, Ion GND, Ciotu CI, Chirita C, Negres S. Computational Drug Repurposing Algorithm Targeting TRPA1 Calcium Channel as a Potential Therapeutic Solution for Multiple Sclerosis. Pharmaceutics. 2019;11(9):446. DOI: 10.3390/pharmaceutics11090446.</w:t>
      </w:r>
      <w:r>
        <w:rPr>
          <w:b w:val="false"/>
          <w:bCs w:val="false"/>
        </w:rPr>
        <w:br/>
      </w:r>
      <w:r>
        <w:rPr>
          <w:rStyle w:val="Strong"/>
          <w:b w:val="false"/>
          <w:bCs w:val="false"/>
          <w:i/>
          <w:iCs/>
          <w:sz w:val="24"/>
          <w:szCs w:val="24"/>
        </w:rPr>
        <w:t>Цитуємо:</w:t>
      </w:r>
      <w:r>
        <w:rPr>
          <w:b w:val="false"/>
          <w:bCs w:val="false"/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як попередню QSAR-роботу безпосередньо на human TRPA1 inhibitors, у якій використано ChEMBL-дані, classification/regression QSAR та molecular docking для прогнозування TRPA1-антагоністів. 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5. </w:t>
      </w:r>
      <w:r>
        <w:rPr/>
        <w:t>Gaulton A, Hersey A, Nowotka M, Bento AP, Chambers J, Mendez D, Mutowo P, Atkinson F, Bellis LJ, Cibrian-Uhalte E, Davies M, Dedman N, Karlsson A, Magarinos MP, Overington JP, Papadatos G, Smit I, Leach AR. The ChEMBL database in 2017. Nucleic Acids Res. 2017;45(D1):D945-D954. DOI: 10.1093/nar/gkw1074.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опису ChEMBL як відкритої курованої бази хімічних структур, біоактивності та пов’язаних експериментальних метаданих.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6. </w:t>
      </w:r>
      <w:r>
        <w:rPr/>
        <w:t>Bento AP, Hersey A, Felix E, Landrum G, Gaulton A, Atkinson F, Bellis LJ, De Veij M, Leach AR. An open source chemical structure curation pipeline using RDKit. J Cheminform. 2020;12(1):51. DOI: 10.1186/s13321-020-00456-1.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обґрунтування використання RDKit і принципів відтворюваної стандартизації та курації молекулярних структур.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7. </w:t>
      </w:r>
      <w:r>
        <w:rPr/>
        <w:t>Rogers D, Hahn M. Extended-connectivity fingerprints. J Chem Inf Model. 2010;50(5):742-754. DOI: 10.1021/ci100050t.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первинне методичне джерело для extended-connectivity fingerprints, до яких належать використані Morgan ECFP4.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8. </w:t>
      </w:r>
      <w:r>
        <w:rPr/>
        <w:t>Chen T, Guestrin C. XGBoost: a scalable tree boosting system. In: Proceedings of the 22nd ACM SIGKDD International Conference on Knowledge Discovery and Data Mining (KDD '16). New York: ACM; 2016. p. 785-794. DOI: 10.1145/2939672.2939785.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первинне методичне джерело для алгоритму XGBoost; це конференційна публікація, тому окремого журнального тому їй не присвоєно.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9. </w:t>
      </w:r>
      <w:r>
        <w:rPr/>
        <w:t>Yang K, Swanson K, Jin W, Coley CW, Eiden P, Gao H, Guzman-Perez A, Hopper T, Kelley B, Mathea M, Palmer A, Settels V, Jaakkola T, Jensen KF, Barzilay R. Analyzing learned molecular representations for property prediction. J Chem Inf Model. 2019;59(8):3370-3388. DOI: 10.1021/acs.jcim.9b00237.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зіставлення learned molecular representations із fingerprint- і descriptor-базованими моделями та для контексту перенесення прогнозу на структурно відмінні молекули.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10. </w:t>
      </w:r>
      <w:r>
        <w:rPr/>
        <w:t>Wu Z, Ramsundar B, Feinberg EN, Gomes J, Geniesse C, Pappu AS, Leswing K, Pande V. MoleculeNet: a benchmark for molecular machine learning. Chem Sci. 2018;9(2):513-530. DOI: 10.1039/C7SC02664A.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стандартний benchmark молекулярного машинного навчання, що порівнює різні представлення й алгоритми та рекомендує scaffold split для реалістичнішої оцінки узагальнення.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11. </w:t>
      </w:r>
      <w:r>
        <w:rPr/>
        <w:t>Rollins ZA, Cheng AC, Metwally E. MolPROP: Molecular Property prediction with multimodal language and graph fusion. J Cheminform. 2024;16(1):56. DOI: 10.1186/s13321-024-00846-9.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маркера про сучасні pretrained molecular language representations, оскільки робота порівнює ChemBERTa-2, графові моделі та fingerprint-базовані контроли на scaffold-split наборах, включно з регресійними задачами.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12. </w:t>
      </w:r>
      <w:r>
        <w:rPr/>
        <w:t>Landrum GA, Riniker S. Combining IC50 or Ki values from different sources is a source of significant noise. J Chem Inf Model. 2024;64(5):1560-1567. DOI: 10.1021/acs.jcim.4c00049.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обговорення шуму, що виникає при об’єднанні IC50 або Ki з різних літературних assays, та для інтерпретації аналізу розбіжності pIC50.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13. </w:t>
      </w:r>
      <w:r>
        <w:rPr/>
        <w:t>Schoenmaker L, Sastrokarijo EG, Heitman LH, Beltman JB, Jespers W, van Westen GJP. Toward assay-aware bioactivity model(er)s: getting a grip on biological context. J Chem Inf Model. 2025;65(13):7013-7023. DOI: 10.1021/acs.jcim.5c00603.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загального обґрунтування того, що біологічний та протокольний контекст assay впливає на інтерпретацію й моделювання вимірюваної біоактивності.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14. </w:t>
      </w:r>
      <w:r>
        <w:rPr/>
        <w:t>Wallach I, Heifets A. Most ligand-based classification benchmarks reward memorization rather than generalization. J Chem Inf Model. 2018;58(5):916-932. DOI: 10.1021/acs.jcim.7b00403.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маркерів про benchmark bias, запам’ятовування близьких структур замість узагальнення та ризик оптимістичних оцінок ligand-based classification.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15. </w:t>
      </w:r>
      <w:r>
        <w:rPr/>
        <w:t>Mysinger MM, Carchia M, Irwin JJ, Shoichet BK. Directory of useful decoys, enhanced (DUD-E): better ligands and decoys for better benchmarking. J Med Chem. 2012;55(14):6582-6594. DOI: 10.1021/jm300687e.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пояснення необхідності property-matched і топологічно відмінних decoys та ризику завищення метрик при використанні випадкових unmatched decoys.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16. </w:t>
      </w:r>
      <w:r>
        <w:rPr/>
        <w:t>Zurborg S, Yurgionas B, Jira JA, Caspani O, Heppenstall PA. Direct activation of the ion channel TRPA1 by Ca2+. Nat Neurosci. 2007;10(3):277-279. DOI: 10.1038/nn1843.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первинний доказ прямої Ca2+-залежної активації й регуляції human TRPA1.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17. </w:t>
      </w:r>
      <w:r>
        <w:rPr/>
        <w:t>Akopian AN, Ruparel NB, Jeske NA, Hargreaves KM. Transient receptor potential TRPA1 channel desensitization in sensory neurons is agonist dependent and regulated by TRPV1-directed internalization. J Physiol. 2007;583(Pt 1):175-193. DOI: 10.1113/jphysiol.2007.133231.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первинне джерело для агоніст-залежної гомологічної та гетерологічної десенситизації TRPA1 і її Ca2+-залежних механізмів.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18. </w:t>
      </w:r>
      <w:r>
        <w:rPr/>
        <w:t>McClenaghan C, Zeng F, Verkuyl JM. TRPA1 agonist activity of probenecid desensitizes channel responses: consequences for screening. Assay Drug Dev Technol. 2012;10(6):533-541. DOI: 10.1089/adt.2012.447.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підтвердження того, що порядок і тривалість експозиції можуть змінювати TRPA1-відповідь і створювати суттєві наслідки для скринінгових assay.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19. </w:t>
      </w:r>
      <w:r>
        <w:rPr/>
        <w:t>Sheridan RP. Three useful dimensions for domain applicability in QSAR models using random forest. J Chem Inf Model. 2012;52(3):814-823. DOI: 10.1021/ci300004n.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як методичне джерело для використання подібності прогнозованої молекули до навчальних сполук, зокрема nearest-neighbor similarity, як індикатора області застосовності QSAR.</w:t>
      </w:r>
    </w:p>
    <w:p>
      <w:pPr>
        <w:pStyle w:val="Normal"/>
        <w:spacing w:before="0" w:after="60"/>
        <w:ind w:hanging="425" w:start="425"/>
        <w:rPr/>
      </w:pPr>
      <w:r>
        <w:rPr>
          <w:b/>
        </w:rPr>
        <w:t xml:space="preserve">20. </w:t>
      </w:r>
      <w:r>
        <w:rPr/>
        <w:t>Sheridan RP. Time-split cross-validation as a method for estimating the goodness of prospective prediction. J Chem Inf Model. 2013;53(4):783-790. DOI: 10.1021/ci400084k.</w:t>
      </w:r>
    </w:p>
    <w:p>
      <w:pPr>
        <w:pStyle w:val="Normal"/>
        <w:spacing w:lineRule="auto" w:line="276" w:before="0" w:after="160"/>
        <w:ind w:start="425"/>
        <w:rPr/>
      </w:pPr>
      <w:r>
        <w:rPr>
          <w:i/>
          <w:sz w:val="24"/>
        </w:rPr>
        <w:t>Цитуємо для розмежування оптимістичної випадкової валідації та складніших сценаріїв prospective extrapolation, а також для контексту інтерполяції в межах відомих серій проти перенесення на новий хімічний простір.</w:t>
      </w:r>
    </w:p>
    <w:sectPr>
      <w:type w:val="nextPage"/>
      <w:pgSz w:w="12240" w:h="15840"/>
      <w:pgMar w:left="124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LibreOffice/26.2.5.2$Windows_X86_64 LibreOffice_project/cd7284b4cbbfeb507e630c1aac019f4157393acb</Application>
  <AppVersion>15.0000</AppVersion>
  <Pages>5</Pages>
  <Words>1089</Words>
  <Characters>7396</Characters>
  <CharactersWithSpaces>8423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2026-08-28T00:56:33Z</dcterms:modified>
  <cp:revision>2</cp:revision>
  <dc:subject>Джерела для Fiziologichnyi Zhurnal</dc:subject>
  <dc:title>Робочий список джерел для рукопису TRPA1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