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scriptTitle"/>
      </w:pPr>
      <w:r>
        <w:rPr>
          <w:lang w:val="uk-UA" w:eastAsia="uk-UA"/>
        </w:rPr>
        <w:t>РЕЗУЛЬТАТИ ТА ОБГОВОРЕННЯ</w:t>
      </w:r>
    </w:p>
    <w:p>
      <w:pPr>
        <w:pStyle w:val="ManuscriptSubheading"/>
      </w:pPr>
      <w:r>
        <w:rPr>
          <w:lang w:val="uk-UA" w:eastAsia="uk-UA"/>
        </w:rPr>
        <w:t>Характеристика набору даних</w:t>
      </w:r>
    </w:p>
    <w:p>
      <w:pPr>
        <w:widowControl/>
        <w:spacing w:line="360" w:lineRule="auto" w:before="0" w:after="0"/>
        <w:ind w:firstLine="0"/>
        <w:jc w:val="both"/>
      </w:pPr>
      <w:r>
        <w:rPr>
          <w:rFonts w:ascii="Times New Roman" w:hAnsi="Times New Roman" w:eastAsia="Times New Roman"/>
          <w:sz w:val="28"/>
          <w:lang w:val="uk-UA" w:eastAsia="uk-UA"/>
        </w:rPr>
        <w:t>Після відбору точних значень IC50 для TRPA1 людини та стандартизації молекулярних структур набір даних містив 2196 записів активності, агрегованих до 1645 унікальних сполук. Сполуки належали до 544 унікальних хімічних каркасів Bemis–Murcko; вимірювання походили з 97 assays і 55 документів ChEMBL, опублікованих у 2010–2025 роках (табл. 1). Для 1196 сполук було доступне одне вимірювання, тоді як 449 сполук мали щонайменше два вимірювання. У 393 випадках сполука була представлена щонайменше у двох assays, а у 52 — щонайменше у двох документах.</w:t>
      </w:r>
    </w:p>
    <w:p>
      <w:pPr>
        <w:widowControl/>
        <w:spacing w:line="360" w:lineRule="auto" w:before="0" w:after="0"/>
        <w:ind w:firstLine="709"/>
        <w:jc w:val="both"/>
      </w:pPr>
      <w:r>
        <w:rPr>
          <w:rFonts w:ascii="Times New Roman" w:hAnsi="Times New Roman" w:eastAsia="Times New Roman"/>
          <w:sz w:val="28"/>
          <w:lang w:val="uk-UA" w:eastAsia="uk-UA"/>
        </w:rPr>
        <w:t>Медіана агрегованого pIC50 становила 7,32, міжквартильний інтервал — 6,63–7,88, а повний діапазон — 4,00–9,31. Отже, набір охоплював широкий спектр опублікованої інгібувальної активності. Наявність повторних вимірювань для частини сполук дала змогу окремо оцінити, чи пов’язана розбіжність літературних значень із похибкою прогнозування, однак цей аналіз стосувався лише підвибірки багаторазово досліджених молекул.</w:t>
      </w:r>
    </w:p>
    <w:p>
      <w:pPr>
        <w:pStyle w:val="ManuscriptSubheading"/>
      </w:pPr>
      <w:r>
        <w:rPr>
          <w:lang w:val="uk-UA" w:eastAsia="uk-UA"/>
        </w:rPr>
        <w:t>Прогнозування pIC50 для нових хімічних каркасів</w:t>
      </w:r>
    </w:p>
    <w:p>
      <w:pPr>
        <w:widowControl/>
        <w:spacing w:line="360" w:lineRule="auto" w:before="0" w:after="0"/>
        <w:ind w:firstLine="0"/>
        <w:jc w:val="both"/>
      </w:pPr>
      <w:r>
        <w:rPr>
          <w:rFonts w:ascii="Times New Roman" w:hAnsi="Times New Roman" w:eastAsia="Times New Roman"/>
          <w:sz w:val="28"/>
          <w:lang w:val="uk-UA" w:eastAsia="uk-UA"/>
        </w:rPr>
        <w:t>За scaffold-валідації моделі на основі Morgan fingerprints прогнозували агреговане pIC50 істотно краще, ніж базова модель, яка передбачала середнє значення навчальної вибірки. Для Random Forest із Morgan fingerprints середні RMSE, R² і коефіцієнт Спірмена становили відповідно 0,622 ± 0,002, 0,572 ± 0,003 і 0,723 ± 0,002. Для XGBoost із тим самим представленням ці показники становили 0,626 ± 0,001, 0,567 ± 0,002 і 0,727 ± 0,007 (табл. 2). Натомість у трьох scaffold-розподілах базова модель мала RMSE 0,953–0,954 та від’ємні значення R² від −0,006 до −0,003. Таким чином, молекулярна структура містила відтворюваний сигнал, який переносився на каркаси, відсутні під час навчання.</w:t>
      </w:r>
    </w:p>
    <w:p>
      <w:pPr>
        <w:widowControl/>
        <w:spacing w:line="360" w:lineRule="auto" w:before="0" w:after="0"/>
        <w:ind w:firstLine="709"/>
        <w:jc w:val="both"/>
      </w:pPr>
      <w:r>
        <w:rPr>
          <w:rFonts w:ascii="Times New Roman" w:hAnsi="Times New Roman" w:eastAsia="Times New Roman"/>
          <w:sz w:val="28"/>
          <w:lang w:val="uk-UA" w:eastAsia="uk-UA"/>
        </w:rPr>
        <w:t>Найвище середнє R² у повній сітці отримано для ChemBERTa-CLS у поєднанні з XGBoost: 0,574 ± 0,009 за RMSE 0,621 ± 0,006 і ρ Спірмена 0,740 ± 0,007. ChemBERTa-CLS із Random Forest дала R² 0,565 ± 0,016. Результати Morgan fingerprints були близькими до результатів ChemBERTa, тоді як MolFormer-Mean давав R² 0,552 ± 0,004 для Random Forest і 0,547 ± 0,005 для XGBoost. Найпростіший набір із 15 фізико-хімічних дескрипторів RDKit забезпечив R² 0,540 ± 0,026 із Random Forest і 0,487 ± 0,049 із XGBoost.</w:t>
      </w:r>
    </w:p>
    <w:p>
      <w:pPr>
        <w:widowControl/>
        <w:spacing w:line="360" w:lineRule="auto" w:before="0" w:after="0"/>
        <w:ind w:firstLine="709"/>
        <w:jc w:val="both"/>
      </w:pPr>
      <w:r>
        <w:rPr>
          <w:rFonts w:ascii="Times New Roman" w:hAnsi="Times New Roman" w:eastAsia="Times New Roman"/>
          <w:sz w:val="28"/>
          <w:lang w:val="uk-UA" w:eastAsia="uk-UA"/>
        </w:rPr>
        <w:t xml:space="preserve">Отримані дані не демонструють стабільної переваги складніших попередньо навчених молекулярних представлень над Morgan fingerprints. ChemBERTa + XGBoost мала найвище середнє R², однак Morgan + Random Forest показала практично таку саму RMSE і меншу мінливість між трьома scaffold-розподілами. Тому коректний висновок полягає не в тому, що нейронні представлення «програли», а в тому, що в межах цього набору жодне з них не забезпечило виразного та стабільного прориву порівняно із сильним fingerprint-базованим контролем. Подібна залежність переваг learned representations від розміру набору, способу попереднього навчання, downstream-алгоритму та схеми валідації потребує зіставлення з опублікованими молекулярними benchmark-дослідженнями. </w:t>
      </w:r>
      <w:r>
        <w:rPr>
          <w:rFonts w:ascii="Times New Roman" w:hAnsi="Times New Roman" w:eastAsia="Times New Roman"/>
          <w:b/>
          <w:sz w:val="28"/>
          <w:highlight w:val="yellow"/>
          <w:lang w:val="uk-UA" w:eastAsia="uk-UA"/>
        </w:rPr>
        <w:t>[SOURCE NEEDED: сучасні benchmark-дослідження, у яких pretrained molecular embeddings порівнювали з Morgan/ECFP у scaffold split для QSAR-регресії]</w:t>
      </w:r>
    </w:p>
    <w:p>
      <w:pPr>
        <w:pStyle w:val="ManuscriptSubheading"/>
      </w:pPr>
      <w:r>
        <w:rPr>
          <w:lang w:val="uk-UA" w:eastAsia="uk-UA"/>
        </w:rPr>
        <w:t>Допоміжне порівняння з класифікацією «ліганд проти випадкового decoy»</w:t>
      </w:r>
    </w:p>
    <w:p>
      <w:pPr>
        <w:widowControl/>
        <w:spacing w:line="360" w:lineRule="auto" w:before="0" w:after="0"/>
        <w:ind w:firstLine="0"/>
        <w:jc w:val="both"/>
      </w:pPr>
      <w:r>
        <w:rPr>
          <w:rFonts w:ascii="Times New Roman" w:hAnsi="Times New Roman" w:eastAsia="Times New Roman"/>
          <w:sz w:val="28"/>
          <w:lang w:val="uk-UA" w:eastAsia="uk-UA"/>
        </w:rPr>
        <w:t>У допоміжній класифікаційній постановці відомі сполуки TRPA1 відокремлювали від випадково вибраних decoy-молекул ChEMBL майже безпомилково. Точність становила 0,9864 для Random Forest, 0,9864 для SVM і 0,9909 для повнозв’язної нейронної мережі; середня ROC AUC у десятикратній перехресній перевірці становила відповідно 0,9982, 0,9968 і 0,9983.</w:t>
      </w:r>
    </w:p>
    <w:p>
      <w:pPr>
        <w:widowControl/>
        <w:spacing w:line="360" w:lineRule="auto" w:before="0" w:after="0"/>
        <w:ind w:firstLine="709"/>
        <w:jc w:val="both"/>
      </w:pPr>
      <w:r>
        <w:rPr>
          <w:rFonts w:ascii="Times New Roman" w:hAnsi="Times New Roman" w:eastAsia="Times New Roman"/>
          <w:sz w:val="28"/>
          <w:lang w:val="uk-UA" w:eastAsia="uk-UA"/>
        </w:rPr>
        <w:t xml:space="preserve">Ці значення не можна прямо зіставляти з R² регресійної задачі, оскільки йдеться про іншу цільову змінну та інший тип перевірки. Однак контраст між майже ідеальною класифікацією і помірною точністю scaffold-регресії показує, наскільки висновок про «якість моделі» залежить від постановки задачі. У цьому допоміжному аналізі decoys були випадковими, а не підібраними за фізико-хімічними властивостями; тому модель могла використовувати загальні відмінності між відомими лігандами та фоновими молекулами, не розв’язуючи складнішої задачі прогнозування potency для нових активних каркасів. </w:t>
      </w:r>
      <w:r>
        <w:rPr>
          <w:rFonts w:ascii="Times New Roman" w:hAnsi="Times New Roman" w:eastAsia="Times New Roman"/>
          <w:b/>
          <w:sz w:val="28"/>
          <w:highlight w:val="yellow"/>
          <w:lang w:val="uk-UA" w:eastAsia="uk-UA"/>
        </w:rPr>
        <w:t>[SOURCE NEEDED: методичні роботи про decoy bias, property-unmatched random decoys і завищення якості ligand-versus-decoy classification]</w:t>
      </w:r>
      <w:r>
        <w:rPr>
          <w:rFonts w:ascii="Times New Roman" w:hAnsi="Times New Roman" w:eastAsia="Times New Roman"/>
          <w:sz w:val="28"/>
          <w:lang w:val="uk-UA" w:eastAsia="uk-UA"/>
        </w:rPr>
        <w:t xml:space="preserve"> Отже, цей аналіз є допоміжним відтворенням постановки задачі, а не доказом готовності моделі до проспективного віртуального скринінгу.</w:t>
      </w:r>
    </w:p>
    <w:p>
      <w:pPr>
        <w:pStyle w:val="ManuscriptSubheading"/>
      </w:pPr>
      <w:r>
        <w:rPr>
          <w:lang w:val="uk-UA" w:eastAsia="uk-UA"/>
        </w:rPr>
        <w:t>Розбіжність опублікованих значень і похибка прогнозування</w:t>
      </w:r>
    </w:p>
    <w:p>
      <w:pPr>
        <w:widowControl/>
        <w:spacing w:line="360" w:lineRule="auto" w:before="0" w:after="0"/>
        <w:ind w:firstLine="0"/>
        <w:jc w:val="both"/>
      </w:pPr>
      <w:r>
        <w:rPr>
          <w:rFonts w:ascii="Times New Roman" w:hAnsi="Times New Roman" w:eastAsia="Times New Roman"/>
          <w:sz w:val="28"/>
          <w:lang w:val="uk-UA" w:eastAsia="uk-UA"/>
        </w:rPr>
        <w:t>На рівні різних assays аналіз охоплював 393 сполуки, що належали до 164 хімічних каркасів (рис. 2). Для основного показника розбіжності — розмаху pIC50 між assay-level медіанами — кореляція з абсолютною OOF-похибкою була додатною, але слабкою. Для Random Forest із Morgan fingerprints ρ становив 0,127; 95% довірчий інтервал — 0,001–0,256, а скориговане методом Холма p-значення — 0,046. Для XGBoost ρ становив 0,164; 95% довірчий інтервал — 0,039–0,301, p_Holm = 0,004. Після контролю медіанного pIC50 і кількості assays часткові кореляції зменшувалися до 0,071 і 0,105 відповідно.</w:t>
      </w:r>
    </w:p>
    <w:p>
      <w:pPr>
        <w:widowControl/>
        <w:spacing w:line="360" w:lineRule="auto" w:before="0" w:after="0"/>
        <w:ind w:firstLine="709"/>
        <w:jc w:val="both"/>
      </w:pPr>
      <w:r>
        <w:rPr>
          <w:rFonts w:ascii="Times New Roman" w:hAnsi="Times New Roman" w:eastAsia="Times New Roman"/>
          <w:sz w:val="28"/>
          <w:lang w:val="uk-UA" w:eastAsia="uk-UA"/>
        </w:rPr>
        <w:t>У суворішому аналізі різних документів було лише 52 сполуки з 28 каркасів. Тут зв’язок був сильнішим: для Random Forest ρ = 0,347, 95% довірчий інтервал 0,063–0,607, p_Holm = 0,046; для XGBoost ρ = 0,449, 95% довірчий інтервал 0,109–0,698, p_Holm = 0,003. Після контролю potency і кількості документів часткові ρ залишалися 0,339 і 0,404.</w:t>
      </w:r>
    </w:p>
    <w:p>
      <w:pPr>
        <w:widowControl/>
        <w:spacing w:line="360" w:lineRule="auto" w:before="0" w:after="0"/>
        <w:ind w:firstLine="709"/>
        <w:jc w:val="both"/>
      </w:pPr>
      <w:r>
        <w:rPr>
          <w:rFonts w:ascii="Times New Roman" w:hAnsi="Times New Roman" w:eastAsia="Times New Roman"/>
          <w:sz w:val="28"/>
          <w:lang w:val="uk-UA" w:eastAsia="uk-UA"/>
        </w:rPr>
        <w:t xml:space="preserve">Таким чином, більша розбіжність опублікованих значень була пов’язана з більшою похибкою моделі, але на широкій multi-assay підвибірці цей зв’язок був невеликим. Сильніша міждокументна асоціація не повинна розглядатися як загальна оцінка для всього набору, оскільки вона отримана лише для 52 багаторазово опублікованих сполук. Результати узгоджуються з припущенням, що неоднорідність експериментальних умов є одним із джерел варіації reported pIC50, але не підтверджують універсальної «стелі» прогнозованості й не встановлюють причинного впливу конкретного параметра протоколу. Для TRPA1 правдоподібними чинниками є природа та концентрація агоніста, клітинна система, спосіб реєстрації, Ca²⁺-залежна регуляція, порядок додавання речовин і десенситизація каналу. </w:t>
      </w:r>
      <w:r>
        <w:rPr>
          <w:rFonts w:ascii="Times New Roman" w:hAnsi="Times New Roman" w:eastAsia="Times New Roman"/>
          <w:b/>
          <w:sz w:val="28"/>
          <w:highlight w:val="yellow"/>
          <w:lang w:val="uk-UA" w:eastAsia="uk-UA"/>
        </w:rPr>
        <w:t>[SOURCE NEEDED: первинні роботи або огляд, що підтверджують залежність вимірюваної інгібувальної активності TRPA1 від агоніста, Ca²⁺, клітинної системи, timing і десенситизації]</w:t>
      </w:r>
      <w:r>
        <w:rPr>
          <w:rFonts w:ascii="Times New Roman" w:hAnsi="Times New Roman" w:eastAsia="Times New Roman"/>
          <w:sz w:val="28"/>
          <w:lang w:val="uk-UA" w:eastAsia="uk-UA"/>
        </w:rPr>
        <w:t xml:space="preserve"> У цій роботі внесок окремих чинників не ізолювали.</w:t>
      </w:r>
    </w:p>
    <w:p>
      <w:pPr>
        <w:pStyle w:val="ManuscriptSubheading"/>
      </w:pPr>
      <w:r>
        <w:rPr>
          <w:lang w:val="uk-UA" w:eastAsia="uk-UA"/>
        </w:rPr>
        <w:t>Хімічна віддаленість і область застосовності</w:t>
      </w:r>
    </w:p>
    <w:p>
      <w:pPr>
        <w:widowControl/>
        <w:spacing w:line="360" w:lineRule="auto" w:before="0" w:after="0"/>
        <w:ind w:firstLine="0"/>
        <w:jc w:val="both"/>
      </w:pPr>
      <w:r>
        <w:rPr>
          <w:rFonts w:ascii="Times New Roman" w:hAnsi="Times New Roman" w:eastAsia="Times New Roman"/>
          <w:sz w:val="28"/>
          <w:lang w:val="uk-UA" w:eastAsia="uk-UA"/>
        </w:rPr>
        <w:t>Для всіх 1645 сполук максимальна подібність Morgan/Tanimoto до навчальної вибірки була негативно пов’язана з абсолютною OOF-похибкою (рис. 3). Для Random Forest ρ становив −0,177, 95% довірчий інтервал — від −0,242 до −0,112, p = 4,26 × 10⁻¹³. Для XGBoost отримано ρ = −0,177, 95% довірчий інтервал — від −0,240 до −0,111, p = 5,12 × 10⁻¹³. Після контролю медіанного pIC50 часткові кореляції становили −0,139 для обох моделей.</w:t>
      </w:r>
    </w:p>
    <w:p>
      <w:pPr>
        <w:widowControl/>
        <w:spacing w:line="360" w:lineRule="auto" w:before="0" w:after="0"/>
        <w:ind w:firstLine="709"/>
        <w:jc w:val="both"/>
      </w:pPr>
      <w:r>
        <w:rPr>
          <w:rFonts w:ascii="Times New Roman" w:hAnsi="Times New Roman" w:eastAsia="Times New Roman"/>
          <w:sz w:val="28"/>
          <w:lang w:val="uk-UA" w:eastAsia="uk-UA"/>
        </w:rPr>
        <w:t xml:space="preserve">Отже, зі зменшенням схожості до найближчої навчальної молекули похибка зростала. Водночас величина кореляції залишалася невеликою: сама лише Tanimoto similarity не дає достатньої інформації для точного передбачення індивідуальної похибки. Її доцільно розглядати як простий індикатор області застосовності, а не як жорсткий поріг надійності. </w:t>
      </w:r>
      <w:r>
        <w:rPr>
          <w:rFonts w:ascii="Times New Roman" w:hAnsi="Times New Roman" w:eastAsia="Times New Roman"/>
          <w:b/>
          <w:sz w:val="28"/>
          <w:highlight w:val="yellow"/>
          <w:lang w:val="uk-UA" w:eastAsia="uk-UA"/>
        </w:rPr>
        <w:t>[SOURCE NEEDED: методичні джерела щодо використання nearest-neighbor Tanimoto similarity для оцінювання applicability domain у QSAR]</w:t>
      </w:r>
      <w:r>
        <w:rPr>
          <w:rFonts w:ascii="Times New Roman" w:hAnsi="Times New Roman" w:eastAsia="Times New Roman"/>
          <w:sz w:val="28"/>
          <w:lang w:val="uk-UA" w:eastAsia="uk-UA"/>
        </w:rPr>
        <w:t xml:space="preserve"> Цей результат доповнює scaffold-валідацію: навіть після повного розділення каркасів ступінь локальної хімічної близькості до train залишається пов’язаним із точністю прогнозу.</w:t>
      </w:r>
    </w:p>
    <w:p>
      <w:pPr>
        <w:pStyle w:val="ManuscriptSubheading"/>
      </w:pPr>
      <w:r>
        <w:rPr>
          <w:lang w:val="uk-UA" w:eastAsia="uk-UA"/>
        </w:rPr>
        <w:t>Вплив стратегії поділу даних</w:t>
      </w:r>
    </w:p>
    <w:p>
      <w:pPr>
        <w:widowControl/>
        <w:spacing w:line="360" w:lineRule="auto" w:before="0" w:after="0"/>
        <w:ind w:firstLine="0"/>
        <w:jc w:val="both"/>
      </w:pPr>
      <w:r>
        <w:rPr>
          <w:rFonts w:ascii="Times New Roman" w:hAnsi="Times New Roman" w:eastAsia="Times New Roman"/>
          <w:sz w:val="28"/>
          <w:lang w:val="uk-UA" w:eastAsia="uk-UA"/>
        </w:rPr>
        <w:t>Найвиразніший систематичний зсув показників якості виникав при зміні стратегії валідації (рис. 4). Для Random Forest із Morgan fingerprints середнє R² збільшувалося з 0,572 ± 0,003 за scaffold split до 0,640 ± 0,005 за random split. Для XGBoost відповідні значення становили 0,567 ± 0,002 і 0,638 ± 0,002. Підвищення R² при random split дорівнювало 0,068 для Random Forest із 95% довірчим інтервалом 0,039–0,101 і 0,071 для XGBoost із довірчим інтервалом 0,045–0,102; для обох моделей p_Holm = 0,00030. RMSE, MAE та коефіцієнт Спірмена також змінювалися в сприятливому для random split напрямку.</w:t>
      </w:r>
    </w:p>
    <w:p>
      <w:pPr>
        <w:widowControl/>
        <w:spacing w:line="360" w:lineRule="auto" w:before="0" w:after="0"/>
        <w:ind w:firstLine="709"/>
        <w:jc w:val="both"/>
      </w:pPr>
      <w:r>
        <w:rPr>
          <w:rFonts w:ascii="Times New Roman" w:hAnsi="Times New Roman" w:eastAsia="Times New Roman"/>
          <w:sz w:val="28"/>
          <w:lang w:val="uk-UA" w:eastAsia="uk-UA"/>
        </w:rPr>
        <w:t xml:space="preserve">При random split у середньому 79,0% тестових молекул мали хімічний каркас, уже присутній у навчальній вибірці. Тому random validation значною мірою оцінювала інтерполяцію всередині відомих scaffold families, тоді як scaffold validation вимагала перенесення на нові каркаси. Методичні дослідження молекулярного машинного навчання мають підтвердити, що random split часто дає оптимістичнішу оцінку під час оцінювання хімічної екстраполяції. </w:t>
      </w:r>
      <w:r>
        <w:rPr>
          <w:rFonts w:ascii="Times New Roman" w:hAnsi="Times New Roman" w:eastAsia="Times New Roman"/>
          <w:b/>
          <w:sz w:val="28"/>
          <w:highlight w:val="yellow"/>
          <w:lang w:val="uk-UA" w:eastAsia="uk-UA"/>
        </w:rPr>
        <w:t>[SOURCE NEEDED: методичні benchmark-роботи про random split, scaffold split і завищення оцінки generalization у molecular ML]</w:t>
      </w:r>
      <w:r>
        <w:rPr>
          <w:rFonts w:ascii="Times New Roman" w:hAnsi="Times New Roman" w:eastAsia="Times New Roman"/>
          <w:sz w:val="28"/>
          <w:lang w:val="uk-UA" w:eastAsia="uk-UA"/>
        </w:rPr>
        <w:t xml:space="preserve"> Для задачі пошуку структурно нових інгібіторів TRPA1 саме scaffold-валідація є більш релевантною перевіркою, тоді як random split може бути корисним для іншого сценарію — прогнозування нових аналогів у межах уже відомих хімічних серій. </w:t>
      </w:r>
      <w:r>
        <w:rPr>
          <w:rFonts w:ascii="Times New Roman" w:hAnsi="Times New Roman" w:eastAsia="Times New Roman"/>
          <w:b/>
          <w:sz w:val="28"/>
          <w:highlight w:val="yellow"/>
          <w:lang w:val="uk-UA" w:eastAsia="uk-UA"/>
        </w:rPr>
        <w:t>[SOURCE NEEDED: джерело, що розрізняє interpolation within known chemical series і extrapolation to unseen scaffolds]</w:t>
      </w:r>
    </w:p>
    <w:p>
      <w:pPr>
        <w:pStyle w:val="ManuscriptSubheading"/>
      </w:pPr>
      <w:r>
        <w:rPr>
          <w:lang w:val="uk-UA" w:eastAsia="uk-UA"/>
        </w:rPr>
        <w:t>Узагальнення результатів та обмеження інтерпретації</w:t>
      </w:r>
    </w:p>
    <w:p>
      <w:pPr>
        <w:widowControl/>
        <w:spacing w:line="360" w:lineRule="auto" w:before="0" w:after="0"/>
        <w:ind w:firstLine="0"/>
        <w:jc w:val="both"/>
      </w:pPr>
      <w:r>
        <w:rPr>
          <w:rFonts w:ascii="Times New Roman" w:hAnsi="Times New Roman" w:eastAsia="Times New Roman"/>
          <w:sz w:val="28"/>
          <w:lang w:val="uk-UA" w:eastAsia="uk-UA"/>
        </w:rPr>
        <w:t>У сукупності результати показують, що структура молекули дає реальний сигнал для прогнозування агрегованого pIC50 TRPA1 людини навіть за відсутності тестового каркаса у навчальній вибірці, однак точність такої екстраполяції залишається обмеженою. Найкращі результати ChemBERTa + XGBoost і Morgan + Random Forest були близькими, тому вибір складнішого molecular representation сам по собі не усунув основну похибку. Значно сильніше видиму якість змінювала стратегія поділу даних. Хімічна віддаленість демонструвала невеликий, але стабільний зв’язок із похибкою, а розбіжність опублікованих значень — слабкий зв’язок на рівні різних assays і сильніший зв’язок лише в малій міждокументній підвибірці.</w:t>
      </w:r>
    </w:p>
    <w:p>
      <w:pPr>
        <w:widowControl/>
        <w:spacing w:line="360" w:lineRule="auto" w:before="0" w:after="0"/>
        <w:ind w:firstLine="709"/>
        <w:jc w:val="both"/>
      </w:pPr>
      <w:r>
        <w:rPr>
          <w:rFonts w:ascii="Times New Roman" w:hAnsi="Times New Roman" w:eastAsia="Times New Roman"/>
          <w:sz w:val="28"/>
          <w:lang w:val="uk-UA" w:eastAsia="uk-UA"/>
        </w:rPr>
        <w:t>Основною особливістю цільової змінної є те, що вона являє собою медіану літературних значень для стандартизованої сполуки. Отже, модель прогнозує агреговану reported potency, а не IC50, яке гарантовано відтвориться в одному визначеному протоколі. Крім того, робота є ретроспективною: вона не містить проспективного скринінгу нових молекул і лабораторної перевірки прогнозів. Аналіз не встановлює причинного внеску окремих assay-параметрів, а міждокументний результат ґрунтується лише на 52 сполуках. Допоміжна ligand-versus-random-decoy classification також не повинна трактуватися як зовнішня валідація регресійної моделі.</w:t>
      </w:r>
    </w:p>
    <w:p>
      <w:pPr>
        <w:widowControl/>
        <w:spacing w:line="360" w:lineRule="auto" w:before="0" w:after="0"/>
        <w:ind w:firstLine="709"/>
        <w:jc w:val="both"/>
      </w:pPr>
      <w:r>
        <w:rPr>
          <w:rFonts w:ascii="Times New Roman" w:hAnsi="Times New Roman" w:eastAsia="Times New Roman"/>
          <w:sz w:val="28"/>
          <w:lang w:val="uk-UA" w:eastAsia="uk-UA"/>
        </w:rPr>
        <w:t>Тому практичне використання отриманих моделей має спиратися на scaffold-aware оцінку, врахування хімічної близькості до навчального набору та експериментальне підтвердження відібраних кандидатів. Поточні результати обґрунтовують застосування моделі як інструмента пріоритизації сполук, але не як заміну вимірюванню активності й не як доказ проспективного відкриття нових антагоністів.</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Title">
    <w:name w:val="Manuscript Title"/>
    <w:pPr>
      <w:keepNext/>
      <w:spacing w:line="360" w:lineRule="auto" w:after="240"/>
      <w:jc w:val="center"/>
    </w:pPr>
    <w:rPr>
      <w:rFonts w:ascii="Times New Roman" w:hAnsi="Times New Roman" w:eastAsia="Times New Roman"/>
      <w:b/>
      <w:sz w:val="28"/>
    </w:rPr>
  </w:style>
  <w:style w:type="paragraph" w:customStyle="1" w:styleId="ManuscriptSubheading">
    <w:name w:val="Manuscript Subheading"/>
    <w:pPr>
      <w:keepNext/>
      <w:spacing w:line="360" w:lineRule="auto" w:before="200" w:after="0"/>
      <w:ind w:firstLine="0"/>
      <w:jc w:val="left"/>
    </w:pPr>
    <w:rPr>
      <w:rFonts w:ascii="Times New Roman" w:hAnsi="Times New Roman" w:eastAsia="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Результати та обговорення — TRPA1 ML Benchmark</dc:title>
  <dc:subject>Робочий розділ рукопису для Fiziologichnyi Zhurnal</dc:subject>
  <dc:creator/>
  <cp:keywords/>
  <dc:description/>
  <cp:lastModifiedBy/>
  <cp:revision>1</cp:revision>
  <dcterms:created xsi:type="dcterms:W3CDTF">2013-12-23T23:15:00Z</dcterms:created>
  <dcterms:modified xsi:type="dcterms:W3CDTF">2013-12-23T23:15:00Z</dcterms:modified>
  <cp:category/>
</cp:coreProperties>
</file>