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40" w:lineRule="auto" w:before="160" w:after="100"/>
        <w:ind w:firstLine="0"/>
        <w:jc w:val="center"/>
      </w:pPr>
      <w:r>
        <w:t>НАЗВА СТАТТІ</w:t>
      </w:r>
    </w:p>
    <w:p>
      <w:r>
        <w:t>Українською: Машинне навчання для прогнозування інгібування TRPA1 людини: валідація за хімічними каркасами, хімічна віддаленість і неоднорідність літературних даних</w:t>
      </w:r>
    </w:p>
    <w:p>
      <w:r>
        <w:t>English: Machine Learning for Human TRPA1 Inhibition Prediction: Chemical Scaffold Validation, Chemical Distance, and Heterogeneity of Published Data</w:t>
      </w:r>
    </w:p>
    <w:p>
      <w:pPr>
        <w:pageBreakBefore/>
        <w:spacing w:line="240" w:lineRule="auto" w:before="160" w:after="100"/>
        <w:ind w:firstLine="0"/>
        <w:jc w:val="center"/>
      </w:pPr>
      <w:r>
        <w:rPr>
          <w:rFonts w:ascii="Times New Roman" w:hAnsi="Times New Roman" w:eastAsia="Times New Roman"/>
          <w:b/>
          <w:i w:val="0"/>
          <w:sz w:val="28"/>
        </w:rPr>
        <w:t>СТРУКТУРОВАНЕ РЕЗЮМЕ</w:t>
      </w:r>
    </w:p>
    <w:p>
      <w:pPr>
        <w:spacing w:line="360" w:lineRule="auto" w:before="0" w:after="40"/>
        <w:ind w:firstLine="0"/>
        <w:jc w:val="both"/>
      </w:pPr>
      <w:r>
        <w:t>Актуальність. Транзієнтний рецепторний потенціал анкіриновий 1 (TRPA1) є перспективною мішенню для пошуку аналгетичних засобів, а тестування великих бібліотек потребує структурної пріоритизації. Надійність моделей може залежати від неоднорідності літературних даних і способу валідації.</w:t>
      </w:r>
    </w:p>
    <w:p>
      <w:pPr>
        <w:spacing w:line="360" w:lineRule="auto" w:before="0" w:after="40"/>
        <w:ind w:firstLine="0"/>
        <w:jc w:val="both"/>
      </w:pPr>
      <w:r>
        <w:rPr>
          <w:rFonts w:ascii="Times New Roman" w:hAnsi="Times New Roman" w:eastAsia="Times New Roman"/>
          <w:b/>
          <w:i w:val="0"/>
          <w:sz w:val="28"/>
        </w:rPr>
        <w:t xml:space="preserve">Мета. </w:t>
      </w:r>
      <w:r>
        <w:rPr>
          <w:rFonts w:ascii="Times New Roman" w:hAnsi="Times New Roman" w:eastAsia="Times New Roman"/>
          <w:b w:val="0"/>
          <w:i w:val="0"/>
          <w:sz w:val="28"/>
        </w:rPr>
      </w:r>
      <w:r>
        <w:rPr>
          <w:rFonts w:ascii="Times New Roman" w:hAnsi="Times New Roman" w:eastAsia="Times New Roman"/>
          <w:sz w:val="28"/>
        </w:rPr>
        <w:t>Оцінити точність прогнозування агрегованого pIC50 інгібування TRPA1 людини для каркасів, відсутніх під час навчання, та перевірити зв’язок похибки з розбіжністю опублікованих значень, хімічною віддаленістю і стратегією поділу даних.</w:t>
      </w:r>
    </w:p>
    <w:p>
      <w:pPr>
        <w:spacing w:line="360" w:lineRule="auto" w:before="0" w:after="40"/>
        <w:ind w:firstLine="0"/>
        <w:jc w:val="both"/>
      </w:pPr>
      <w:r>
        <w:t>Методи. Із ChEMBL 37 відібрано 2196 точних IC50-записів, агрегованих до 1645 сполук і 544 каркасів Bemis–Murcko. Morgan ECFP4, дескриптори RDKit, ChemBERTa та MolFormer поєднували з Random Forest і XGBoost у трьох варіантах п’ятикратної валідації за хімічними каркасами. За прогнозами перехресної перевірки аналізували розбіжність pIC50, подібність Танімото між відбитками Morgan і навчальною вибіркою та порівнювали випадковий поділ із поділом за каркасами.</w:t>
      </w:r>
    </w:p>
    <w:p>
      <w:pPr>
        <w:spacing w:line="360" w:lineRule="auto" w:before="0" w:after="40"/>
        <w:ind w:firstLine="0"/>
        <w:jc w:val="both"/>
      </w:pPr>
      <w:r>
        <w:t>Результати. XGBoost+ChemBERTa і Random Forest+Morgan показали близькі результати валідації за каркасами: R² 0,574±0,009 і 0,572±0,003 відповідно. Для 393 сполук, досліджених у кількох біологічних тестах, зв’язок розбіжності з похибкою був слабким (ρ=0,127–0,164), а для 52 сполук, представлених у кількох документах, — сильнішим (ρ=0,347–0,449). Подібність до навчальної вибірки корелювала з похибкою негативно (ρ≈−0,177). Випадковий поділ підвищував R² на 0,068–0,071; 79,0% тестових молекул мали каркас у навчальній вибірці.</w:t>
      </w:r>
    </w:p>
    <w:p>
      <w:pPr>
        <w:spacing w:line="360" w:lineRule="auto" w:before="0" w:after="40"/>
        <w:ind w:firstLine="0"/>
        <w:jc w:val="both"/>
      </w:pPr>
      <w:r>
        <w:t>Висновки. Молекулярна структура містить відтворюваний прогностичний сигнал, але попередньо навчені представлення не мали стабільної переваги над відбитками Morgan. Для оцінювання перенесення прогнозу на нові каркаси потрібна валідація за хімічними каркасами та експериментальне підтвердження.</w:t>
      </w:r>
    </w:p>
    <w:p>
      <w:pPr>
        <w:spacing w:line="360" w:lineRule="auto" w:before="80" w:after="0"/>
        <w:ind w:firstLine="0"/>
        <w:jc w:val="left"/>
      </w:pPr>
      <w:r>
        <w:t>Ключові слова: TRPA1; інгібітори; pIC50; машинне навчання; хемоінформатика; відбитки Morgan; валідація за хімічними каркасами; область застосовності; ChEMBL.</w:t>
      </w:r>
    </w:p>
    <w:p>
      <w:pPr>
        <w:pageBreakBefore/>
        <w:spacing w:line="240" w:lineRule="auto" w:before="160" w:after="100"/>
        <w:ind w:firstLine="0"/>
        <w:jc w:val="center"/>
      </w:pPr>
      <w:r>
        <w:rPr>
          <w:rFonts w:ascii="Times New Roman" w:hAnsi="Times New Roman" w:eastAsia="Times New Roman"/>
          <w:b/>
          <w:i w:val="0"/>
          <w:sz w:val="28"/>
        </w:rPr>
        <w:t>STRUCTURED ABSTRACT</w:t>
      </w:r>
    </w:p>
    <w:p>
      <w:pPr>
        <w:spacing w:line="360" w:lineRule="auto" w:before="0" w:after="40"/>
        <w:ind w:firstLine="0"/>
        <w:jc w:val="both"/>
      </w:pPr>
      <w:r>
        <w:rPr>
          <w:rFonts w:ascii="Times New Roman" w:hAnsi="Times New Roman" w:eastAsia="Times New Roman"/>
          <w:b/>
          <w:i w:val="0"/>
          <w:sz w:val="28"/>
        </w:rPr>
        <w:t xml:space="preserve">Background. </w:t>
      </w:r>
      <w:r>
        <w:rPr>
          <w:rFonts w:ascii="Times New Roman" w:hAnsi="Times New Roman" w:eastAsia="Times New Roman"/>
          <w:b w:val="0"/>
          <w:i w:val="0"/>
          <w:sz w:val="28"/>
        </w:rPr>
      </w:r>
      <w:r>
        <w:rPr>
          <w:rFonts w:ascii="Times New Roman" w:hAnsi="Times New Roman" w:eastAsia="Times New Roman"/>
          <w:sz w:val="28"/>
        </w:rPr>
        <w:t>TRPA1 is a promising target for analgesic discovery, and testing large libraries requires structure-based prioritization. Model reliability may depend on heterogeneity in published potency data and on validation strategy.</w:t>
      </w:r>
    </w:p>
    <w:p>
      <w:pPr>
        <w:spacing w:line="360" w:lineRule="auto" w:before="0" w:after="40"/>
        <w:ind w:firstLine="0"/>
        <w:jc w:val="both"/>
      </w:pPr>
      <w:r>
        <w:rPr>
          <w:rFonts w:ascii="Times New Roman" w:hAnsi="Times New Roman" w:eastAsia="Times New Roman"/>
          <w:b/>
          <w:i w:val="0"/>
          <w:sz w:val="28"/>
        </w:rPr>
        <w:t xml:space="preserve">Objective. </w:t>
      </w:r>
      <w:r>
        <w:rPr>
          <w:rFonts w:ascii="Times New Roman" w:hAnsi="Times New Roman" w:eastAsia="Times New Roman"/>
          <w:b w:val="0"/>
          <w:i w:val="0"/>
          <w:sz w:val="28"/>
        </w:rPr>
      </w:r>
      <w:r>
        <w:rPr>
          <w:rFonts w:ascii="Times New Roman" w:hAnsi="Times New Roman" w:eastAsia="Times New Roman"/>
          <w:sz w:val="28"/>
        </w:rPr>
        <w:t>To evaluate prediction of aggregated human TRPA1 inhibitory pIC50 for scaffolds absent from training and test whether error is associated with published-value disagreement, chemical distance, and data splitting.</w:t>
      </w:r>
    </w:p>
    <w:p>
      <w:pPr>
        <w:spacing w:line="360" w:lineRule="auto" w:before="0" w:after="40"/>
        <w:ind w:firstLine="0"/>
        <w:jc w:val="both"/>
      </w:pPr>
      <w:r>
        <w:rPr>
          <w:rFonts w:ascii="Times New Roman" w:hAnsi="Times New Roman" w:eastAsia="Times New Roman"/>
          <w:b/>
          <w:i w:val="0"/>
          <w:sz w:val="28"/>
        </w:rPr>
        <w:t xml:space="preserve">Methods. </w:t>
      </w:r>
      <w:r>
        <w:rPr>
          <w:rFonts w:ascii="Times New Roman" w:hAnsi="Times New Roman" w:eastAsia="Times New Roman"/>
          <w:b w:val="0"/>
          <w:i w:val="0"/>
          <w:sz w:val="28"/>
        </w:rPr>
      </w:r>
      <w:r>
        <w:rPr>
          <w:rFonts w:ascii="Times New Roman" w:hAnsi="Times New Roman" w:eastAsia="Times New Roman"/>
          <w:sz w:val="28"/>
        </w:rPr>
        <w:t>From ChEMBL 37, 2,196 exact IC50 records were aggregated into 1,645 compounds and 544 Bemis–Murcko scaffolds. Morgan ECFP4, RDKit descriptors, ChemBERTa, and MolFormer were combined with Random Forest and XGBoost in three five-fold scaffold partitions. Out-of-fold predictions were used to analyze pIC50 dispersion, Morgan/Tanimoto similarity to training compounds, and random-versus-scaffold validation.</w:t>
      </w:r>
    </w:p>
    <w:p>
      <w:pPr>
        <w:spacing w:line="360" w:lineRule="auto" w:before="0" w:after="40"/>
        <w:ind w:firstLine="0"/>
        <w:jc w:val="both"/>
      </w:pPr>
      <w:r>
        <w:rPr>
          <w:rFonts w:ascii="Times New Roman" w:hAnsi="Times New Roman" w:eastAsia="Times New Roman"/>
          <w:b/>
          <w:i w:val="0"/>
          <w:sz w:val="28"/>
        </w:rPr>
        <w:t xml:space="preserve">Results. </w:t>
      </w:r>
      <w:r>
        <w:rPr>
          <w:rFonts w:ascii="Times New Roman" w:hAnsi="Times New Roman" w:eastAsia="Times New Roman"/>
          <w:b w:val="0"/>
          <w:i w:val="0"/>
          <w:sz w:val="28"/>
        </w:rPr>
      </w:r>
      <w:r>
        <w:rPr>
          <w:rFonts w:ascii="Times New Roman" w:hAnsi="Times New Roman" w:eastAsia="Times New Roman"/>
          <w:sz w:val="28"/>
        </w:rPr>
        <w:t>XGBoost+ChemBERTa and Random Forest+Morgan produced similar scaffold-CV results: R² 0.574±0.009 and 0.572±0.003, respectively. Among 393 multi-assay compounds, the association between potency disagreement and error was weak (ρ=0.127–0.164); it was stronger among 52 multi-document compounds (ρ=0.347–0.449). Similarity to training compounds correlated negatively with error (ρ≈−0.177). Random splitting increased R² by 0.068–0.071; 79.0% of random-test molecules had a scaffold present in training.</w:t>
      </w:r>
    </w:p>
    <w:p>
      <w:pPr>
        <w:spacing w:line="360" w:lineRule="auto" w:before="0" w:after="40"/>
        <w:ind w:firstLine="0"/>
        <w:jc w:val="both"/>
      </w:pPr>
      <w:r>
        <w:rPr>
          <w:rFonts w:ascii="Times New Roman" w:hAnsi="Times New Roman" w:eastAsia="Times New Roman"/>
          <w:b/>
          <w:i w:val="0"/>
          <w:sz w:val="28"/>
        </w:rPr>
        <w:t xml:space="preserve">Conclusions. </w:t>
      </w:r>
      <w:r>
        <w:rPr>
          <w:rFonts w:ascii="Times New Roman" w:hAnsi="Times New Roman" w:eastAsia="Times New Roman"/>
          <w:b w:val="0"/>
          <w:i w:val="0"/>
          <w:sz w:val="28"/>
        </w:rPr>
      </w:r>
      <w:r>
        <w:rPr>
          <w:rFonts w:ascii="Times New Roman" w:hAnsi="Times New Roman" w:eastAsia="Times New Roman"/>
          <w:sz w:val="28"/>
        </w:rPr>
        <w:t>Molecular structure provides a reproducible predictive signal, but pretrained representations showed no stable advantage over Morgan fingerprints. Transfer to unseen scaffolds requires scaffold-aware validation and experimental confirmation.</w:t>
      </w:r>
    </w:p>
    <w:p>
      <w:pPr>
        <w:spacing w:line="360" w:lineRule="auto" w:before="80" w:after="0"/>
        <w:ind w:firstLine="0"/>
        <w:jc w:val="left"/>
      </w:pPr>
      <w:r>
        <w:rPr>
          <w:rFonts w:ascii="Times New Roman" w:hAnsi="Times New Roman" w:eastAsia="Times New Roman"/>
          <w:b/>
          <w:i w:val="0"/>
          <w:sz w:val="28"/>
        </w:rPr>
        <w:t xml:space="preserve">Keywords: </w:t>
      </w:r>
      <w:r>
        <w:rPr>
          <w:rFonts w:ascii="Times New Roman" w:hAnsi="Times New Roman" w:eastAsia="Times New Roman"/>
          <w:b w:val="0"/>
          <w:i w:val="0"/>
          <w:sz w:val="28"/>
        </w:rPr>
        <w:t>TRPA1; inhibitors; pIC50; machine learning; cheminformatics; Morgan fingerprints; scaffold-aware validation; applicability domain; ChEMBL.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TRPA1 structured abstracts and title options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