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line="360" w:lineRule="auto" w:before="0" w:after="120"/>
        <w:ind w:firstLine="0" w:left="0" w:right="0"/>
        <w:jc w:val="center"/>
      </w:pPr>
      <w:r>
        <w:rPr>
          <w:rFonts w:ascii="Times New Roman" w:hAnsi="Times New Roman" w:eastAsia="Times New Roman"/>
          <w:b/>
          <w:sz w:val="28"/>
        </w:rPr>
        <w:t>Машинне навчання для прогнозування інгібування TRPA1 людини: валідація за хімічними каркасами, хімічна віддаленість і неоднорідність літературних даних</w:t>
      </w:r>
    </w:p>
    <w:p>
      <w:pPr>
        <w:keepNext w:val="0"/>
        <w:keepLines/>
        <w:widowControl/>
        <w:spacing w:line="360" w:lineRule="auto" w:before="0" w:after="240"/>
        <w:ind w:firstLine="0" w:left="0" w:right="0"/>
        <w:jc w:val="center"/>
      </w:pPr>
      <w:r>
        <w:rPr>
          <w:rFonts w:ascii="Times New Roman" w:hAnsi="Times New Roman" w:eastAsia="Times New Roman"/>
          <w:b/>
          <w:i/>
          <w:sz w:val="28"/>
        </w:rPr>
        <w:t>Machine Learning for Human TRPA1 Inhibition Prediction: Chemical Scaffold Validation, Chemical Distance, and Heterogeneity of Published Data</w:t>
      </w:r>
    </w:p>
    <w:p>
      <w:pPr>
        <w:keepNext w:val="0"/>
        <w:keepLines w:val="0"/>
        <w:widowControl/>
        <w:spacing w:line="360" w:lineRule="auto" w:before="0" w:after="0"/>
        <w:ind w:firstLine="0" w:left="0" w:right="0"/>
        <w:jc w:val="both"/>
      </w:pPr>
      <w:r>
        <w:rPr>
          <w:rFonts w:ascii="Times New Roman" w:hAnsi="Times New Roman" w:eastAsia="Times New Roman"/>
          <w:b/>
          <w:sz w:val="28"/>
        </w:rPr>
        <w:t>Актуальність.</w:t>
      </w:r>
      <w:r>
        <w:rPr>
          <w:rFonts w:ascii="Times New Roman" w:hAnsi="Times New Roman" w:eastAsia="Times New Roman"/>
          <w:sz w:val="28"/>
        </w:rPr>
        <w:t xml:space="preserve"> Транзієнтний рецепторний потенціал керований анкіриновий 1 (TRPA1) канал є перспективною мішенню для пошуку аналгетичних засобів, але тестування великих бібліотек молекул потребує структурної пріоритизації. Надійність моделей може залежати від неоднорідності літературних даних і способу валідації.</w:t>
      </w:r>
    </w:p>
    <w:p>
      <w:pPr>
        <w:keepNext w:val="0"/>
        <w:keepLines w:val="0"/>
        <w:widowControl/>
        <w:spacing w:line="360" w:lineRule="auto" w:before="0" w:after="0"/>
        <w:ind w:firstLine="0" w:left="0" w:right="0"/>
        <w:jc w:val="both"/>
      </w:pPr>
      <w:r>
        <w:rPr>
          <w:rFonts w:ascii="Times New Roman" w:hAnsi="Times New Roman" w:eastAsia="Times New Roman"/>
          <w:b/>
          <w:sz w:val="28"/>
        </w:rPr>
        <w:t>Мета.</w:t>
      </w:r>
      <w:r>
        <w:rPr>
          <w:rFonts w:ascii="Times New Roman" w:hAnsi="Times New Roman" w:eastAsia="Times New Roman"/>
          <w:sz w:val="28"/>
        </w:rPr>
        <w:t xml:space="preserve"> Оцінити точність прогнозування агрегованого pIC50 інгібування TRPA1 людини для молекулярних каркасів, відсутніх під час навчання, та перевірити зв’язок похибки з розбіжністю опублікованих значень для окремих молекул, хімічною віддаленістю та стратегією поділу даних.</w:t>
      </w:r>
    </w:p>
    <w:p>
      <w:pPr>
        <w:keepNext w:val="0"/>
        <w:keepLines w:val="0"/>
        <w:widowControl/>
        <w:spacing w:line="360" w:lineRule="auto" w:before="0" w:after="0"/>
        <w:ind w:firstLine="0" w:left="0" w:right="0"/>
        <w:jc w:val="both"/>
      </w:pPr>
      <w:r>
        <w:rPr>
          <w:rFonts w:ascii="Times New Roman" w:hAnsi="Times New Roman" w:eastAsia="Times New Roman"/>
          <w:b/>
          <w:sz w:val="28"/>
        </w:rPr>
        <w:t>Методи.</w:t>
      </w:r>
      <w:r>
        <w:rPr>
          <w:rFonts w:ascii="Times New Roman" w:hAnsi="Times New Roman" w:eastAsia="Times New Roman"/>
          <w:sz w:val="28"/>
        </w:rPr>
        <w:t xml:space="preserve"> Із ChEMBL 37 відібрано 2196 точних IC50-записів, агрегованих до 1645 сполук і 544 каркасів Bemis–Murcko. Morgan ECFP4, дескриптори RDKit, ChemBERTa та MolFormer поєднували з Random Forest і XGBoost у трьох варіантах п’ятикратної валідації за хімічними каркасами. За прогнозами перехресної перевірки аналізували розбіжність pIC50, подібність Танімото між відбитками Morgan і навчальною вибіркою та порівнювали випадковий поділ із поділом за каркасами.</w:t>
      </w:r>
    </w:p>
    <w:p>
      <w:pPr>
        <w:keepNext w:val="0"/>
        <w:keepLines w:val="0"/>
        <w:widowControl/>
        <w:spacing w:line="360" w:lineRule="auto" w:before="0" w:after="0"/>
        <w:ind w:firstLine="0" w:left="0" w:right="0"/>
        <w:jc w:val="both"/>
      </w:pPr>
      <w:r>
        <w:rPr>
          <w:rFonts w:ascii="Times New Roman" w:hAnsi="Times New Roman" w:eastAsia="Times New Roman"/>
          <w:b/>
          <w:sz w:val="28"/>
        </w:rPr>
        <w:t>Результати.</w:t>
      </w:r>
      <w:r>
        <w:rPr>
          <w:rFonts w:ascii="Times New Roman" w:hAnsi="Times New Roman" w:eastAsia="Times New Roman"/>
          <w:sz w:val="28"/>
        </w:rPr>
        <w:t xml:space="preserve"> XGBoost+ChemBERTa і Random Forest+Morgan показали близькі результати валідації за каркасами: R² 0,574±0,009 і 0,572±0,003 відповідно. Для 393 сполук, досліджених у кількох біологічних тестах, зв’язок розбіжності з похибкою був слабким (ρ=0,127–0,164), а для 52 сполук, представлених у кількох документах, — сильнішим (ρ=0,347–0,449). Подібність до навчальної вибірки корелювала з похибкою негативно (ρ≈−0,177). Випадковий поділ підвищував R² на 0,068–0,071; 79,0% тестових молекул мали каркас у навчальній вибірці.</w:t>
      </w:r>
    </w:p>
    <w:p>
      <w:pPr>
        <w:keepNext w:val="0"/>
        <w:keepLines w:val="0"/>
        <w:widowControl/>
        <w:spacing w:line="360" w:lineRule="auto" w:before="0" w:after="0"/>
        <w:ind w:firstLine="0" w:left="0" w:right="0"/>
        <w:jc w:val="both"/>
      </w:pPr>
      <w:r>
        <w:rPr>
          <w:rFonts w:ascii="Times New Roman" w:hAnsi="Times New Roman" w:eastAsia="Times New Roman"/>
          <w:b/>
          <w:sz w:val="28"/>
        </w:rPr>
        <w:t>Висновки.</w:t>
      </w:r>
      <w:r>
        <w:rPr>
          <w:rFonts w:ascii="Times New Roman" w:hAnsi="Times New Roman" w:eastAsia="Times New Roman"/>
          <w:sz w:val="28"/>
        </w:rPr>
        <w:t xml:space="preserve"> Молекулярна структура містить відтворюваний прогностичний сигнал, але попередньо навчені представлення не мали стабільної переваги над відбитками Morgan. Для оцінювання перенесення прогнозу на нові каркаси потрібна валідація за хімічними каркасами та експериментальне підтвердження.</w:t>
      </w:r>
    </w:p>
    <w:p>
      <w:pPr>
        <w:keepNext w:val="0"/>
        <w:keepLines w:val="0"/>
        <w:widowControl/>
        <w:spacing w:line="360" w:lineRule="auto" w:before="0" w:after="120"/>
        <w:ind w:firstLine="0" w:left="0" w:right="0"/>
        <w:jc w:val="both"/>
      </w:pPr>
      <w:r>
        <w:rPr>
          <w:rFonts w:ascii="Times New Roman" w:hAnsi="Times New Roman" w:eastAsia="Times New Roman"/>
          <w:b/>
          <w:sz w:val="28"/>
        </w:rPr>
        <w:t>Ключові слова:</w:t>
      </w:r>
      <w:r>
        <w:rPr>
          <w:rFonts w:ascii="Times New Roman" w:hAnsi="Times New Roman" w:eastAsia="Times New Roman"/>
          <w:sz w:val="28"/>
        </w:rPr>
        <w:t xml:space="preserve"> TRPA1; інгібітори; pIC50; машинне навчання; хемоінформатика; відбитки Morgan; валідація за хімічними каркасами; область застосовності; ChEMBL.</w:t>
      </w:r>
    </w:p>
    <w:p>
      <w:pPr>
        <w:keepNext/>
        <w:keepLines w:val="0"/>
        <w:widowControl/>
        <w:spacing w:line="360" w:lineRule="auto" w:before="160" w:after="80"/>
        <w:ind w:firstLine="0" w:left="0" w:right="0"/>
        <w:jc w:val="left"/>
      </w:pPr>
      <w:r>
        <w:rPr>
          <w:rFonts w:ascii="Times New Roman" w:hAnsi="Times New Roman" w:eastAsia="Times New Roman"/>
          <w:b/>
          <w:sz w:val="28"/>
        </w:rPr>
        <w:t>STRUCTURED ABSTRACT</w:t>
      </w:r>
    </w:p>
    <w:p>
      <w:pPr>
        <w:keepNext w:val="0"/>
        <w:keepLines w:val="0"/>
        <w:widowControl/>
        <w:spacing w:line="360" w:lineRule="auto" w:before="0" w:after="0"/>
        <w:ind w:firstLine="0" w:left="0" w:right="0"/>
        <w:jc w:val="both"/>
      </w:pPr>
      <w:r>
        <w:rPr>
          <w:rFonts w:ascii="Times New Roman" w:hAnsi="Times New Roman" w:eastAsia="Times New Roman"/>
          <w:b/>
          <w:sz w:val="28"/>
        </w:rPr>
        <w:t>Background.</w:t>
      </w:r>
      <w:r>
        <w:rPr>
          <w:rFonts w:ascii="Times New Roman" w:hAnsi="Times New Roman" w:eastAsia="Times New Roman"/>
          <w:sz w:val="28"/>
        </w:rPr>
        <w:t xml:space="preserve"> TRPA1 is a promising target for analgesic discovery, and testing large libraries requires structure-based prioritization. Model reliability may depend on heterogeneity in published potency data and on validation strategy.</w:t>
      </w:r>
    </w:p>
    <w:p>
      <w:pPr>
        <w:keepNext w:val="0"/>
        <w:keepLines w:val="0"/>
        <w:widowControl/>
        <w:spacing w:line="360" w:lineRule="auto" w:before="0" w:after="0"/>
        <w:ind w:firstLine="0" w:left="0" w:right="0"/>
        <w:jc w:val="both"/>
      </w:pPr>
      <w:r>
        <w:rPr>
          <w:rFonts w:ascii="Times New Roman" w:hAnsi="Times New Roman" w:eastAsia="Times New Roman"/>
          <w:b/>
          <w:sz w:val="28"/>
        </w:rPr>
        <w:t>Objective.</w:t>
      </w:r>
      <w:r>
        <w:rPr>
          <w:rFonts w:ascii="Times New Roman" w:hAnsi="Times New Roman" w:eastAsia="Times New Roman"/>
          <w:sz w:val="28"/>
        </w:rPr>
        <w:t xml:space="preserve"> To evaluate prediction of aggregated human TRPA1 inhibitory pIC50 for scaffolds absent from training and test whether error is associated with published-value disagreement, chemical distance, and data splitting.</w:t>
      </w:r>
    </w:p>
    <w:p>
      <w:pPr>
        <w:keepNext w:val="0"/>
        <w:keepLines w:val="0"/>
        <w:widowControl/>
        <w:spacing w:line="360" w:lineRule="auto" w:before="0" w:after="0"/>
        <w:ind w:firstLine="0" w:left="0" w:right="0"/>
        <w:jc w:val="both"/>
      </w:pPr>
      <w:r>
        <w:rPr>
          <w:rFonts w:ascii="Times New Roman" w:hAnsi="Times New Roman" w:eastAsia="Times New Roman"/>
          <w:b/>
          <w:sz w:val="28"/>
        </w:rPr>
        <w:t>Methods.</w:t>
      </w:r>
      <w:r>
        <w:rPr>
          <w:rFonts w:ascii="Times New Roman" w:hAnsi="Times New Roman" w:eastAsia="Times New Roman"/>
          <w:sz w:val="28"/>
        </w:rPr>
        <w:t xml:space="preserve"> From ChEMBL 37, 2,196 exact IC50 records were aggregated into 1,645 compounds and 544 Bemis–Murcko scaffolds. Morgan ECFP4, RDKit descriptors, ChemBERTa, and MolFormer were combined with Random Forest and XGBoost in three five-fold scaffold partitions. Out-of-fold predictions were used to analyze pIC50 dispersion, Morgan/Tanimoto similarity to training compounds, and random-versus-scaffold validation.</w:t>
      </w:r>
    </w:p>
    <w:p>
      <w:pPr>
        <w:keepNext w:val="0"/>
        <w:keepLines w:val="0"/>
        <w:widowControl/>
        <w:spacing w:line="360" w:lineRule="auto" w:before="0" w:after="0"/>
        <w:ind w:firstLine="0" w:left="0" w:right="0"/>
        <w:jc w:val="both"/>
      </w:pPr>
      <w:r>
        <w:rPr>
          <w:rFonts w:ascii="Times New Roman" w:hAnsi="Times New Roman" w:eastAsia="Times New Roman"/>
          <w:b/>
          <w:sz w:val="28"/>
        </w:rPr>
        <w:t>Results.</w:t>
      </w:r>
      <w:r>
        <w:rPr>
          <w:rFonts w:ascii="Times New Roman" w:hAnsi="Times New Roman" w:eastAsia="Times New Roman"/>
          <w:sz w:val="28"/>
        </w:rPr>
        <w:t xml:space="preserve"> XGBoost+ChemBERTa and Random Forest+Morgan produced similar scaffold-CV results: R² 0.574±0.009 and 0.572±0.003, respectively. Among 393 multi-assay compounds, the association between potency disagreement and error was weak (ρ=0.127–0.164); it was stronger among 52 multi-document compounds (ρ=0.347–0.449). Similarity to training compounds correlated negatively with error (ρ≈−0.177). Random splitting increased R² by 0.068–0.071; 79.0% of random-test molecules had a scaffold present in training.</w:t>
      </w:r>
    </w:p>
    <w:p>
      <w:pPr>
        <w:keepNext w:val="0"/>
        <w:keepLines w:val="0"/>
        <w:widowControl/>
        <w:spacing w:line="360" w:lineRule="auto" w:before="0" w:after="0"/>
        <w:ind w:firstLine="0" w:left="0" w:right="0"/>
        <w:jc w:val="both"/>
      </w:pPr>
      <w:r>
        <w:rPr>
          <w:rFonts w:ascii="Times New Roman" w:hAnsi="Times New Roman" w:eastAsia="Times New Roman"/>
          <w:b/>
          <w:sz w:val="28"/>
        </w:rPr>
        <w:t>Conclusions.</w:t>
      </w:r>
      <w:r>
        <w:rPr>
          <w:rFonts w:ascii="Times New Roman" w:hAnsi="Times New Roman" w:eastAsia="Times New Roman"/>
          <w:sz w:val="28"/>
        </w:rPr>
        <w:t xml:space="preserve"> Molecular structure provides a reproducible predictive signal, but pretrained representations showed no stable advantage over Morgan fingerprints. Transfer to unseen scaffolds requires scaffold-aware validation and experimental confirmation.</w:t>
      </w:r>
    </w:p>
    <w:p>
      <w:pPr>
        <w:keepNext w:val="0"/>
        <w:keepLines w:val="0"/>
        <w:widowControl/>
        <w:spacing w:line="360" w:lineRule="auto" w:before="0" w:after="120"/>
        <w:ind w:firstLine="0" w:left="0" w:right="0"/>
        <w:jc w:val="both"/>
      </w:pPr>
      <w:r>
        <w:rPr>
          <w:rFonts w:ascii="Times New Roman" w:hAnsi="Times New Roman" w:eastAsia="Times New Roman"/>
          <w:b/>
          <w:sz w:val="28"/>
        </w:rPr>
        <w:t>Keywords:</w:t>
      </w:r>
      <w:r>
        <w:rPr>
          <w:rFonts w:ascii="Times New Roman" w:hAnsi="Times New Roman" w:eastAsia="Times New Roman"/>
          <w:sz w:val="28"/>
        </w:rPr>
        <w:t xml:space="preserve"> TRPA1; inhibitors; pIC50; machine learning; cheminformatics; Morgan fingerprints; scaffold-aware validation; applicability domain; ChEMBL.</w:t>
      </w:r>
    </w:p>
    <w:p>
      <w:pPr>
        <w:keepNext/>
        <w:keepLines w:val="0"/>
        <w:widowControl/>
        <w:spacing w:line="360" w:lineRule="auto" w:before="240" w:after="120"/>
        <w:ind w:firstLine="0" w:left="0" w:right="0"/>
        <w:jc w:val="left"/>
      </w:pPr>
      <w:r>
        <w:rPr>
          <w:rFonts w:ascii="Times New Roman" w:hAnsi="Times New Roman" w:eastAsia="Times New Roman"/>
          <w:b/>
          <w:sz w:val="28"/>
        </w:rPr>
        <w:t>ВСТУП</w:t>
      </w:r>
    </w:p>
    <w:p>
      <w:pPr>
        <w:keepNext w:val="0"/>
        <w:keepLines w:val="0"/>
        <w:widowControl/>
        <w:spacing w:line="360" w:lineRule="auto" w:before="0" w:after="0"/>
        <w:ind w:firstLine="709" w:left="0" w:right="0"/>
        <w:jc w:val="both"/>
      </w:pPr>
      <w:r>
        <w:rPr>
          <w:rFonts w:ascii="Times New Roman" w:hAnsi="Times New Roman" w:eastAsia="Times New Roman"/>
          <w:sz w:val="28"/>
        </w:rPr>
        <w:t>Транзієнтний рецепторний потенціал анкіриновий 1 (TRPA1) — неселективний катіонний канал, представлений, зокрема, у периферичних сенсорних нейронах. Він реагує на широкий спектр хімічних подразників і ендогенних сигналів ушкодження та бере участь у формуванні ноцицептивної, запальної й нейрогенної больової відповіді [1, 2]. Поєднання периферичної локалізації з участю в сенситизації ноцицепторів зробило TRPA1 перспективною фармакологічною мішенню для пошуку ненаркотичних аналгетиків. Водночас функціональна відповідь каналу залежить від способу його активації, внутрішньоклітинного Ca2+ і процесів десенситизації, що ускладнює пряме зіставлення результатів, отриманих у різних експериментальних системах [1, 3–5].</w:t>
      </w:r>
    </w:p>
    <w:p>
      <w:pPr>
        <w:keepNext w:val="0"/>
        <w:keepLines w:val="0"/>
        <w:widowControl/>
        <w:spacing w:line="360" w:lineRule="auto" w:before="0" w:after="0"/>
        <w:ind w:firstLine="709" w:left="0" w:right="0"/>
        <w:jc w:val="both"/>
      </w:pPr>
      <w:r>
        <w:rPr>
          <w:rFonts w:ascii="Times New Roman" w:hAnsi="Times New Roman" w:eastAsia="Times New Roman"/>
          <w:sz w:val="28"/>
        </w:rPr>
        <w:t>Експериментальне дослідження великої кількості кандидатних сполук потребує попередньої пріоритезації. Прогноз активності за молекулярною структурою дає змогу оцінювати ще не перевірені сполуки й відбирати найперспективніші з них для подальшого тестування. Розвиток відкритих баз біоактивності, насамперед ChEMBL, і відтворюваних хемоінформатичних інструментів створив основу для таких досліджень [6, 7]. Для представлення структури можуть використовуватися, зокрема, extended-connectivity fingerprints, а для регресії — ансамблеві алгоритми на кшталт XGBoost [8, 9]. Поряд із ними застосовують попередньо навчені молекулярні представлення, однак їхня перевага над традиційними fingerprints і фізико-хімічними дескрипторами залежить від набору даних, алгоритму та схеми оцінювання [10–12].</w:t>
      </w:r>
    </w:p>
    <w:p>
      <w:pPr>
        <w:keepNext w:val="0"/>
        <w:keepLines w:val="0"/>
        <w:widowControl/>
        <w:spacing w:line="360" w:lineRule="auto" w:before="0" w:after="0"/>
        <w:ind w:firstLine="709" w:left="0" w:right="0"/>
        <w:jc w:val="both"/>
      </w:pPr>
      <w:r>
        <w:rPr>
          <w:rFonts w:ascii="Times New Roman" w:hAnsi="Times New Roman" w:eastAsia="Times New Roman"/>
          <w:sz w:val="28"/>
        </w:rPr>
        <w:t>Для TRPA1 уже запропоновано QSAR- і машинно-навчальні підходи до пошуку активних сполук. Зокрема, моделі використовували для прогнозування інгібіторів TRPA1, віртуального перепрофілювання лікарських засобів і класифікації відомих лігандів відносно випадково відібраних decoy-сполук [13, 14]. Ці роботи показали, що структурні ознаки містять корисний сигнал, однак самі по собі високі метрики ще не визначають здатність моделі переносити прогноз на нові хімічні серії.</w:t>
      </w:r>
    </w:p>
    <w:p>
      <w:pPr>
        <w:keepNext w:val="0"/>
        <w:keepLines w:val="0"/>
        <w:widowControl/>
        <w:spacing w:line="360" w:lineRule="auto" w:before="0" w:after="0"/>
        <w:ind w:firstLine="709" w:left="0" w:right="0"/>
        <w:jc w:val="both"/>
      </w:pPr>
      <w:r>
        <w:rPr>
          <w:rFonts w:ascii="Times New Roman" w:hAnsi="Times New Roman" w:eastAsia="Times New Roman"/>
          <w:sz w:val="28"/>
        </w:rPr>
        <w:t>Оцінка молекулярної моделі істотно залежить від постановки задачі та способу валідації. За випадкового поділу близькі аналоги або сполуки зі спільним каркасом можуть опинитися одночасно в навчальній і тестовій вибірках; у такому разі модель значною мірою інтерполює всередині вже відомих хімічних серій. Поділ за каркасами є суворішою перевіркою узагальнення на структурно нові сполуки [11, 15, 16]. Так само класифікація відомих лігандів проти випадкових, не підібраних за властивостями decoys може бути значно легшою за прогноз кількісної активності й давати оптимістичне уявлення про практичну цінність моделі [15, 17]. Надійність окремого прогнозу також пов’язана з хімічною близькістю тестової молекули до навчального набору, тобто з областю застосовності моделі [18].</w:t>
      </w:r>
    </w:p>
    <w:p>
      <w:pPr>
        <w:keepNext w:val="0"/>
        <w:keepLines w:val="0"/>
        <w:widowControl/>
        <w:spacing w:line="360" w:lineRule="auto" w:before="0" w:after="0"/>
        <w:ind w:firstLine="709" w:left="0" w:right="0"/>
        <w:jc w:val="both"/>
      </w:pPr>
      <w:r>
        <w:rPr>
          <w:rFonts w:ascii="Times New Roman" w:hAnsi="Times New Roman" w:eastAsia="Times New Roman"/>
          <w:sz w:val="28"/>
        </w:rPr>
        <w:t>Додаткове обмеження виникає через неоднорідність самої цільової змінної. Значення IC50, отримані для однієї сполуки в різних джерелах, можуть відрізнятися, а об’єднання таких вимірювань збільшує шум у навчальних даних [19]. Біологічний контекст assay — клітинна система, спосіб активації, режим експозиції та інші умови протоколу — впливає на зміст вимірюваної активності й має враховуватися під час інтерпретації моделей [20]. Для TRPA1 ця проблема особливо правдоподібна через Ca2+-залежну регуляцію, агоніст-залежну десенситизацію та чутливість скринінгової відповіді до послідовності й тривалості дії речовин [3–5].</w:t>
      </w:r>
    </w:p>
    <w:p>
      <w:pPr>
        <w:keepNext w:val="0"/>
        <w:keepLines w:val="0"/>
        <w:widowControl/>
        <w:spacing w:line="360" w:lineRule="auto" w:before="0" w:after="0"/>
        <w:ind w:firstLine="709" w:left="0" w:right="0"/>
        <w:jc w:val="both"/>
      </w:pPr>
      <w:r>
        <w:rPr>
          <w:rFonts w:ascii="Times New Roman" w:hAnsi="Times New Roman" w:eastAsia="Times New Roman"/>
          <w:sz w:val="28"/>
        </w:rPr>
        <w:t>Тому після попередніх QSAR- і машинно-навчальних досліджень TRPA1 [13, 14] актуальним залишалося питання, наскільки їхні висновки переносяться на суворішу задачу кількісного прогнозування активності для нових хімічних каркасів. У цій роботі таку оцінку доповнено аналізом зв’язку похибки з розбіжністю опублікованих значень, хімічною віддаленістю сполук і способом поділу даних.</w:t>
      </w:r>
    </w:p>
    <w:p>
      <w:pPr>
        <w:keepNext w:val="0"/>
        <w:keepLines w:val="0"/>
        <w:widowControl/>
        <w:spacing w:line="360" w:lineRule="auto" w:before="0" w:after="0"/>
        <w:ind w:firstLine="709" w:left="0" w:right="0"/>
        <w:jc w:val="both"/>
      </w:pPr>
      <w:r>
        <w:rPr>
          <w:rFonts w:ascii="Times New Roman" w:hAnsi="Times New Roman" w:eastAsia="Times New Roman"/>
          <w:sz w:val="28"/>
        </w:rPr>
        <w:t>Метою роботи було оцінити точність прогнозування агрегованих за літературними даними значень pIC50 інгібування TRPA1 людини за молекулярною структурою для хімічних каркасів, не представлених під час навчання, та перевірити, чи пов’язана похибка прогнозу з розбіжністю опублікованих значень для тієї самої сполуки.</w:t>
      </w:r>
    </w:p>
    <w:p>
      <w:pPr>
        <w:keepNext/>
        <w:keepLines w:val="0"/>
        <w:widowControl/>
        <w:spacing w:line="360" w:lineRule="auto" w:before="240" w:after="120"/>
        <w:ind w:firstLine="0" w:left="0" w:right="0"/>
        <w:jc w:val="left"/>
      </w:pPr>
      <w:r>
        <w:rPr>
          <w:rFonts w:ascii="Times New Roman" w:hAnsi="Times New Roman" w:eastAsia="Times New Roman"/>
          <w:b/>
          <w:sz w:val="28"/>
        </w:rPr>
        <w:t>МАТЕРІАЛИ ТА МЕТОДИ</w:t>
      </w:r>
    </w:p>
    <w:p>
      <w:pPr>
        <w:keepNext/>
        <w:keepLines w:val="0"/>
        <w:widowControl/>
        <w:spacing w:line="360" w:lineRule="auto" w:before="160" w:after="60"/>
        <w:ind w:firstLine="0" w:left="0" w:right="0"/>
        <w:jc w:val="left"/>
      </w:pPr>
      <w:r>
        <w:rPr>
          <w:rFonts w:ascii="Times New Roman" w:hAnsi="Times New Roman" w:eastAsia="Times New Roman"/>
          <w:b/>
          <w:sz w:val="28"/>
        </w:rPr>
        <w:t>Дизайн дослідження</w:t>
      </w:r>
    </w:p>
    <w:p>
      <w:pPr>
        <w:keepNext w:val="0"/>
        <w:keepLines w:val="0"/>
        <w:widowControl/>
        <w:spacing w:line="360" w:lineRule="auto" w:before="0" w:after="0"/>
        <w:ind w:firstLine="709" w:left="0" w:right="0"/>
        <w:jc w:val="both"/>
      </w:pPr>
      <w:r>
        <w:rPr>
          <w:rFonts w:ascii="Times New Roman" w:hAnsi="Times New Roman" w:eastAsia="Times New Roman"/>
          <w:sz w:val="28"/>
        </w:rPr>
        <w:t>Проведено ретроспективне обчислювальне дослідження, у якому за молекулярною структурою прогнозували агреговане значення інгібувальної активності сполук щодо TRPA1 людини. Основною задачею була регресія для сполук із хімічними каркасами, відсутніми в навчальній частині даних. Окремо оцінювали зв’язок похибки прогнозу з розбіжністю опублікованих значень, хімічною віддаленістю тестової сполуки від навчальної вибірки та способом поділу даних. Схему дослідження наведено на рис. 1.</w:t>
      </w:r>
    </w:p>
    <w:p>
      <w:pPr>
        <w:keepNext/>
        <w:keepLines w:val="0"/>
        <w:widowControl/>
        <w:spacing w:line="360" w:lineRule="auto" w:before="160" w:after="60"/>
        <w:ind w:firstLine="0" w:left="0" w:right="0"/>
        <w:jc w:val="left"/>
      </w:pPr>
      <w:r>
        <w:rPr>
          <w:rFonts w:ascii="Times New Roman" w:hAnsi="Times New Roman" w:eastAsia="Times New Roman"/>
          <w:b/>
          <w:sz w:val="28"/>
        </w:rPr>
        <w:t>Джерело даних і критерії відбору</w:t>
      </w:r>
    </w:p>
    <w:p>
      <w:pPr>
        <w:keepNext w:val="0"/>
        <w:keepLines w:val="0"/>
        <w:widowControl/>
        <w:spacing w:line="360" w:lineRule="auto" w:before="0" w:after="0"/>
        <w:ind w:firstLine="709" w:left="0" w:right="0"/>
        <w:jc w:val="both"/>
      </w:pPr>
      <w:r>
        <w:rPr>
          <w:rFonts w:ascii="Times New Roman" w:hAnsi="Times New Roman" w:eastAsia="Times New Roman"/>
          <w:sz w:val="28"/>
        </w:rPr>
        <w:t>Дані отримано з бази ChEMBL версії 37 [6]. Відбирали записи для мішені CHEMBL6007 (TRPA1 людини) з типом показника IC50, точною рівністю standard_relation = "=" та наявним значенням pChEMBL. Заморожена таблиця рівня окремих вимірювань містила 2196 записів; усі збережені стандартизовані значення IC50 були подані в нмоль/л. Документи, з яких походили записи, охоплювали 2010–2025 роки.</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Основний molecule-level набір із 1645 сполук спочатку було сформовано за даними ChEMBL 36 і використано для основного benchmark. Після виходу ChEMBL 37 відбір повторили за тим самим строгим фільтром і процедурою стандартизації; усі 1645 стандартизованих сполук та їхні агреговані значення збіглися без змін. Пізніше під час аналізу походження окремих вимірювань було зафіксовано record-level таблицю з 2196 точними IC50-записами, які після об’єднання за InChIKey відповідали тим самим 1645 сполукам.</w:t>
      </w:r>
    </w:p>
    <w:p>
      <w:pPr>
        <w:keepNext w:val="0"/>
        <w:keepLines w:val="0"/>
        <w:widowControl/>
        <w:spacing w:line="360" w:lineRule="auto" w:before="0" w:after="0"/>
        <w:ind w:firstLine="709" w:left="0" w:right="0"/>
        <w:jc w:val="both"/>
      </w:pPr>
      <w:r>
        <w:rPr>
          <w:rFonts w:ascii="Times New Roman" w:hAnsi="Times New Roman" w:eastAsia="Times New Roman"/>
          <w:sz w:val="28"/>
        </w:rPr>
        <w:t>Перехід від 2196 записів до 1645 сполук був агрегацією, а не вилученням біологічних тестів. Після стандартизації структури записи з однаковим InChIKey об’єднували в один molecule-level рядок, а цільову змінну визначали як медіану збережених значень pChEMBL. Отриманий набір охоплював 97 assays і 55 документів ChEMBL та містив 544 унікальні хімічні каркаси Bemis–Murcko.</w:t>
      </w:r>
    </w:p>
    <w:p>
      <w:pPr>
        <w:keepNext/>
        <w:keepLines w:val="0"/>
        <w:widowControl/>
        <w:spacing w:line="360" w:lineRule="auto" w:before="160" w:after="60"/>
        <w:ind w:firstLine="0" w:left="0" w:right="0"/>
        <w:jc w:val="left"/>
      </w:pPr>
      <w:r>
        <w:rPr>
          <w:rFonts w:ascii="Times New Roman" w:hAnsi="Times New Roman" w:eastAsia="Times New Roman"/>
          <w:b/>
          <w:sz w:val="28"/>
        </w:rPr>
        <w:t>Стандартизація структур і формування цільової змінної</w:t>
      </w:r>
    </w:p>
    <w:p>
      <w:pPr>
        <w:keepNext w:val="0"/>
        <w:keepLines w:val="0"/>
        <w:widowControl/>
        <w:spacing w:line="360" w:lineRule="auto" w:before="0" w:after="0"/>
        <w:ind w:firstLine="709" w:left="0" w:right="0"/>
        <w:jc w:val="both"/>
      </w:pPr>
      <w:r>
        <w:rPr>
          <w:rFonts w:ascii="Times New Roman" w:hAnsi="Times New Roman" w:eastAsia="Times New Roman"/>
          <w:sz w:val="28"/>
        </w:rPr>
        <w:t>Молекулярні структури обробляли засобами RDKit: виконували парсинг SMILES, видалення солей або вибір основного фрагмента, формування канонічного ізомеричного SMILES та InChIKey [7]. Одиницею аналізу була стандартизована молекулярна структура, ідентифікована за InChIKey.</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кожної структури цільову змінну визначали як медіану всіх збережених значень pChEMBL для точних IC50-записів. Оскільки всі включені записи мали тип показника IC50, у рукописі це агреговане значення позначено як pIC50 [6]. Такий показник характеризує медіану літературних вимірювань однієї сполуки, а не її активність у єдиному стандартизованому протоколі.</w:t>
      </w:r>
    </w:p>
    <w:p>
      <w:pPr>
        <w:keepNext/>
        <w:keepLines w:val="0"/>
        <w:widowControl/>
        <w:spacing w:line="360" w:lineRule="auto" w:before="160" w:after="60"/>
        <w:ind w:firstLine="0" w:left="0" w:right="0"/>
        <w:jc w:val="left"/>
      </w:pPr>
      <w:r>
        <w:rPr>
          <w:rFonts w:ascii="Times New Roman" w:hAnsi="Times New Roman" w:eastAsia="Times New Roman"/>
          <w:b/>
          <w:sz w:val="28"/>
        </w:rPr>
        <w:t>Молекулярні представлення</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кожної сполуки використовували чотири способи числового опису молекулярної структури. Першим був бітовий відбиток Morgan ECFP4, сформований у RDKit із радіусом 2 та довжиною 2048 біт без урахування хіральності [8].</w:t>
      </w:r>
    </w:p>
    <w:p>
      <w:pPr>
        <w:keepNext w:val="0"/>
        <w:keepLines w:val="0"/>
        <w:widowControl/>
        <w:spacing w:line="360" w:lineRule="auto" w:before="0" w:after="0"/>
        <w:ind w:firstLine="709" w:left="0" w:right="0"/>
        <w:jc w:val="both"/>
      </w:pPr>
      <w:r>
        <w:rPr>
          <w:rFonts w:ascii="Times New Roman" w:hAnsi="Times New Roman" w:eastAsia="Times New Roman"/>
          <w:sz w:val="28"/>
        </w:rPr>
        <w:t>Другим представленням був набір із 15 фізико-хімічних дескрипторів RDKit: молекулярна маса, logP, молярна рефракція, площа полярної поверхні, кількість акцепторів і донорів водневого зв’язку, кількість обертових зв’язків, ароматичних, аліфатичних і насичених кілець, загальна кількість кілець, частка sp3-гібридизованих атомів вуглецю, кількість важких атомів, гетероатомів і LabuteASA [7].</w:t>
      </w:r>
    </w:p>
    <w:p>
      <w:pPr>
        <w:keepNext w:val="0"/>
        <w:keepLines w:val="0"/>
        <w:widowControl/>
        <w:spacing w:line="360" w:lineRule="auto" w:before="0" w:after="0"/>
        <w:ind w:firstLine="709" w:left="0" w:right="0"/>
        <w:jc w:val="both"/>
      </w:pPr>
      <w:r>
        <w:rPr>
          <w:rFonts w:ascii="Times New Roman" w:hAnsi="Times New Roman" w:eastAsia="Times New Roman"/>
          <w:sz w:val="28"/>
        </w:rPr>
        <w:t>Третім представленням були 384-вимірні вектори ChemBERTa-CLS, отримані замороженою попередньо навченою моделлю DeepChem/ChemBERTa-77M-MTR із першого токена послідовності; для токенізації SMILES застосовували обрізання до максимальної довжини 128 токенів. Параметри моделі не донавчали на наборі TRPA1.</w:t>
      </w:r>
    </w:p>
    <w:p>
      <w:pPr>
        <w:keepNext w:val="0"/>
        <w:keepLines w:val="0"/>
        <w:widowControl/>
        <w:spacing w:line="360" w:lineRule="auto" w:before="0" w:after="0"/>
        <w:ind w:firstLine="709" w:left="0" w:right="0"/>
        <w:jc w:val="both"/>
      </w:pPr>
      <w:r>
        <w:rPr>
          <w:rFonts w:ascii="Times New Roman" w:hAnsi="Times New Roman" w:eastAsia="Times New Roman"/>
          <w:sz w:val="28"/>
        </w:rPr>
        <w:t>Четвертим представленням були 768-вимірні вектори MolFormer-Mean, сформовані усередненням прихованих представлень попередньо навченої моделі ibm/MoLFormer-XL-both-10pct, revision 7b12d946c181a37f6012b9dc3b002275de070314, у середовищі transformers 4.44.2; максимальна довжина токенізованої послідовності становила 202 токени. Параметри моделі також не донавчали на наборі TRPA1. Застосування попередньо навчених молекулярних представлень для прогнозування властивостей і їх порівняння з fingerprint-базованими підходами описано в попередніх benchmark-дослідженнях [10–12].</w:t>
      </w:r>
    </w:p>
    <w:p>
      <w:pPr>
        <w:keepNext w:val="0"/>
        <w:keepLines w:val="0"/>
        <w:widowControl/>
        <w:spacing w:line="360" w:lineRule="auto" w:before="0" w:after="0"/>
        <w:ind w:firstLine="709" w:left="0" w:right="0"/>
        <w:jc w:val="both"/>
      </w:pPr>
      <w:r>
        <w:rPr>
          <w:rFonts w:ascii="Times New Roman" w:hAnsi="Times New Roman" w:eastAsia="Times New Roman"/>
          <w:sz w:val="28"/>
        </w:rPr>
        <w:t>Для аналізу розбіжності опублікованих значень, хімічної віддаленості та порівняння стратегій поділу даних використовували Morgan fingerprints у поєднанні з Random Forest і XGBoost. Morgan обрали як спільне представлення для обох алгоритмів, оскільки його якість за валідації за каркасами була близькою до найкращих комбінацій повної сітки, а аналіз хімічної віддаленості безпосередньо ґрунтувався на коефіцієнті Танімото між Morgan fingerprints.</w:t>
      </w:r>
    </w:p>
    <w:p>
      <w:pPr>
        <w:keepNext/>
        <w:keepLines w:val="0"/>
        <w:widowControl/>
        <w:spacing w:line="360" w:lineRule="auto" w:before="160" w:after="60"/>
        <w:ind w:firstLine="0" w:left="0" w:right="0"/>
        <w:jc w:val="left"/>
      </w:pPr>
      <w:r>
        <w:rPr>
          <w:rFonts w:ascii="Times New Roman" w:hAnsi="Times New Roman" w:eastAsia="Times New Roman"/>
          <w:b/>
          <w:sz w:val="28"/>
        </w:rPr>
        <w:t>Регресійні алгоритми</w:t>
      </w:r>
    </w:p>
    <w:p>
      <w:pPr>
        <w:keepNext w:val="0"/>
        <w:keepLines w:val="0"/>
        <w:widowControl/>
        <w:spacing w:line="360" w:lineRule="auto" w:before="0" w:after="0"/>
        <w:ind w:firstLine="709" w:left="0" w:right="0"/>
        <w:jc w:val="both"/>
      </w:pPr>
      <w:r>
        <w:rPr>
          <w:rFonts w:ascii="Times New Roman" w:hAnsi="Times New Roman" w:eastAsia="Times New Roman"/>
          <w:sz w:val="28"/>
        </w:rPr>
        <w:t>Кожне з чотирьох молекулярних представлень подавали двом регресійним алгоритмам на однакових розбиттях даних: випадковому лісу (Random Forest) та XGBoost. Для RandomForestRegressor використовували 500 дерев, random_state = 42 і n_jobs = −1; решту параметрів залишали за замовчуванням бібліотеки scikit-learn.</w:t>
      </w:r>
    </w:p>
    <w:p>
      <w:pPr>
        <w:keepNext w:val="0"/>
        <w:keepLines w:val="0"/>
        <w:widowControl/>
        <w:spacing w:line="360" w:lineRule="auto" w:before="0" w:after="0"/>
        <w:ind w:firstLine="709" w:left="0" w:right="0"/>
        <w:jc w:val="both"/>
      </w:pPr>
      <w:r>
        <w:rPr>
          <w:rFonts w:ascii="Times New Roman" w:hAnsi="Times New Roman" w:eastAsia="Times New Roman"/>
          <w:sz w:val="28"/>
        </w:rPr>
        <w:t>Для XGBRegressor використовували 500 дерев, максимальну глибину 6, швидкість навчання 0,05, цільову функцію reg:squarederror, метрику rmse, алгоритм побудови дерев hist, random_state = 42 і n_jobs = −1 [9].</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контролю результатів також застосовували базову модель, яка в кожному навчальному фолді передбачала середнє значення цільової змінної.</w:t>
      </w:r>
    </w:p>
    <w:p>
      <w:pPr>
        <w:keepNext/>
        <w:keepLines w:val="0"/>
        <w:widowControl/>
        <w:spacing w:line="360" w:lineRule="auto" w:before="160" w:after="60"/>
        <w:ind w:firstLine="0" w:left="0" w:right="0"/>
        <w:jc w:val="left"/>
      </w:pPr>
      <w:r>
        <w:rPr>
          <w:rFonts w:ascii="Times New Roman" w:hAnsi="Times New Roman" w:eastAsia="Times New Roman"/>
          <w:b/>
          <w:sz w:val="28"/>
        </w:rPr>
        <w:t>Поділ даних і основна оцінка моделей</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Основну оцінку проводили методом п’ятикратної перехресної перевірки з групуванням за хімічними каркасами Bemis–Murcko. Сполуки з однаковим каркасом завжди належали до одного фолду, тому каркас тестової сполуки не був представлений у навчальній частині відповідного фолду. Такий поділ застосовують для суворішої оцінки узагальнення молекулярних моделей на структурно нові сполуки [11, 15, 16].</w:t>
      </w:r>
    </w:p>
    <w:p>
      <w:pPr>
        <w:keepNext w:val="0"/>
        <w:keepLines w:val="0"/>
        <w:widowControl/>
        <w:spacing w:line="360" w:lineRule="auto" w:before="0" w:after="0"/>
        <w:ind w:firstLine="709" w:left="0" w:right="0"/>
        <w:jc w:val="both"/>
      </w:pPr>
      <w:r>
        <w:rPr>
          <w:rFonts w:ascii="Times New Roman" w:hAnsi="Times New Roman" w:eastAsia="Times New Roman"/>
          <w:sz w:val="28"/>
        </w:rPr>
        <w:t>Використовували три варіанти розподілу каркасів між п’ятьма фолдами. Перший варіант формували детермінованим GroupKFold. Для другого і третього варіантів каркаси незалежно перерозподіляли з початковими значеннями генератора 1001 і 1002, балансуючи кількість сполук у фолдах. Ті самі призначення фолдів застосовували до всіх восьми комбінацій «молекулярне представлення × алгоритм».</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кожної сполуки в кожному з трьох варіантів розподілу зберігали прогноз, отриманий моделлю, яка не навчалася на цій сполуці та її каркасі (out-of-fold, OOF). У кожному варіанті розподілу метрики обчислювали на сукупності всіх OOF-прогнозів, після чого подавали середнє та стандартне відхилення між трьома варіантами.</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Основними показниками якості були середньоквадратична похибка (RMSE), коефіцієнт детермінації R² та ранговий коефіцієнт кореляції Спірмена. Середню абсолютну похибку (MAE) додатково використовували у порівнянні випадкового поділу з поділом за каркасами.</w:t>
      </w:r>
    </w:p>
    <w:p>
      <w:pPr>
        <w:keepNext/>
        <w:keepLines w:val="0"/>
        <w:widowControl/>
        <w:spacing w:line="360" w:lineRule="auto" w:before="160" w:after="60"/>
        <w:ind w:firstLine="0" w:left="0" w:right="0"/>
        <w:jc w:val="left"/>
      </w:pPr>
      <w:r>
        <w:rPr>
          <w:rFonts w:ascii="Times New Roman" w:hAnsi="Times New Roman" w:eastAsia="Times New Roman"/>
          <w:b/>
          <w:sz w:val="28"/>
        </w:rPr>
        <w:t>Аналіз розбіжності опублікованих значень</w:t>
      </w:r>
    </w:p>
    <w:p>
      <w:pPr>
        <w:keepNext w:val="0"/>
        <w:keepLines w:val="0"/>
        <w:widowControl/>
        <w:spacing w:line="360" w:lineRule="auto" w:before="0" w:after="0"/>
        <w:ind w:firstLine="709" w:left="0" w:right="0"/>
        <w:jc w:val="both"/>
      </w:pPr>
      <w:r>
        <w:rPr>
          <w:rFonts w:ascii="Times New Roman" w:hAnsi="Times New Roman" w:eastAsia="Times New Roman"/>
          <w:sz w:val="28"/>
        </w:rPr>
        <w:t>Щоб технічні дублікати одного тесту не вважали незалежними вимірюваннями, записи спочатку об’єднували медіаною всередині кожної пари «сполука × assay». Розбіжність між тестами оцінювали для 393 сполук, представлених щонайменше у двох різних assays.</w:t>
      </w:r>
    </w:p>
    <w:p>
      <w:pPr>
        <w:keepNext w:val="0"/>
        <w:keepLines w:val="0"/>
        <w:widowControl/>
        <w:spacing w:line="360" w:lineRule="auto" w:before="0" w:after="0"/>
        <w:ind w:firstLine="709" w:left="0" w:right="0"/>
        <w:jc w:val="both"/>
      </w:pPr>
      <w:r>
        <w:rPr>
          <w:rFonts w:ascii="Times New Roman" w:hAnsi="Times New Roman" w:eastAsia="Times New Roman"/>
          <w:sz w:val="28"/>
        </w:rPr>
        <w:t>У суворішому міждокументному аналізі записи спочатку об’єднували медіаною всередині кожної пари «сполука × документ», після чого розбіжність оцінювали для 52 сполук, наявних щонайменше у двох різних документах.</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Основним показником розбіжності був розмах pIC50 між агрегованими значеннями. Як додаткові показники обчислювали вибіркове стандартне відхилення, медіанне абсолютне відхилення та медіану всіх попарних абсолютних різниць. Для кожної моделі абсолютну OOF-похибку сполуки усереднювали між трьома варіантами розподілу за каркасами, після чого перевіряли її монотонний зв’язок із показниками розбіжності за коефіцієнтом Спірмена.</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кожного з чотирьох показників розбіжності 95% довірчі інтервали коефіцієнта Спірмена оцінювали кластерним bootstrap із повторним вибором цілих хімічних каркасів, 1500 ітерацій. Додатково обчислювали часткову рангову кореляцію з контролем медіанного pIC50 та кількості assays або документів. P-значення чотирьох показників розбіжності коригували методом Холма окремо для кожної моделі та рівня агрегації.</w:t>
      </w:r>
    </w:p>
    <w:p>
      <w:pPr>
        <w:keepNext/>
        <w:keepLines w:val="0"/>
        <w:widowControl/>
        <w:spacing w:line="360" w:lineRule="auto" w:before="160" w:after="60"/>
        <w:ind w:firstLine="0" w:left="0" w:right="0"/>
        <w:jc w:val="left"/>
      </w:pPr>
      <w:r>
        <w:rPr>
          <w:rFonts w:ascii="Times New Roman" w:hAnsi="Times New Roman" w:eastAsia="Times New Roman"/>
          <w:b/>
          <w:sz w:val="28"/>
        </w:rPr>
        <w:t>Допоміжне порівняння з класифікаційною постановкою</w:t>
      </w:r>
    </w:p>
    <w:p>
      <w:pPr>
        <w:keepNext w:val="0"/>
        <w:keepLines w:val="0"/>
        <w:widowControl/>
        <w:spacing w:line="360" w:lineRule="auto" w:before="0" w:after="0"/>
        <w:ind w:firstLine="709" w:left="0" w:right="0"/>
        <w:jc w:val="both"/>
      </w:pPr>
      <w:r>
        <w:rPr>
          <w:rFonts w:ascii="Times New Roman" w:hAnsi="Times New Roman" w:eastAsia="Times New Roman"/>
          <w:sz w:val="28"/>
        </w:rPr>
        <w:t>Для оцінки впливу постановки задачі окремо відтворювали класифікаційний підхід «відомий антагоніст TRPA1 проти випадково відібраної decoy-сполуки». Використовували 2048-бітні Morgan ECFP4, випадковий стратифікований поділ 80/20 з random_state = 34 та десятикратну стратифіковану перехресну перевірку для ROC AUC. Порівнювали Random Forest, метод опорних векторів із радіально-базисним ядром та повнозв’язну нейронну мережу [13].</w:t>
      </w:r>
    </w:p>
    <w:p>
      <w:pPr>
        <w:keepNext w:val="0"/>
        <w:keepLines w:val="0"/>
        <w:widowControl/>
        <w:spacing w:line="360" w:lineRule="auto" w:before="0" w:after="0"/>
        <w:ind w:firstLine="709" w:left="0" w:right="0"/>
        <w:jc w:val="both"/>
      </w:pPr>
      <w:r>
        <w:rPr>
          <w:rFonts w:ascii="Times New Roman" w:hAnsi="Times New Roman" w:eastAsia="Times New Roman"/>
          <w:sz w:val="28"/>
        </w:rPr>
        <w:t>Цей аналіз відтворював загальну постановку попередньої роботи, але використовував Morgan fingerprints замість початкового способу молекулярного опису та випадкові непідібрані decoys; тому його розглядали як допоміжне порівняння складності задач, а не як дослівну реплікацію або проспективну валідацію [15, 17].</w:t>
      </w:r>
    </w:p>
    <w:p>
      <w:pPr>
        <w:keepNext/>
        <w:keepLines w:val="0"/>
        <w:widowControl/>
        <w:spacing w:line="360" w:lineRule="auto" w:before="160" w:after="60"/>
        <w:ind w:firstLine="0" w:left="0" w:right="0"/>
        <w:jc w:val="left"/>
      </w:pPr>
      <w:r>
        <w:rPr>
          <w:rFonts w:ascii="Times New Roman" w:hAnsi="Times New Roman" w:eastAsia="Times New Roman"/>
          <w:b/>
          <w:sz w:val="28"/>
        </w:rPr>
        <w:t>Аналіз хімічної області застосовності</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кожної тестової сполуки в кожному фолді визначали максимальну подібність Танімото між її Morgan fingerprint і fingerprints усіх сполук навчальної частини. Для кожної сполуки максимальну подібність та абсолютну OOF-похибку усереднювали між трьома варіантами розподілу. Nearest-neighbor similarity використовують як один з індикаторів області застосовності QSAR-моделей [18].</w:t>
      </w:r>
    </w:p>
    <w:p>
      <w:pPr>
        <w:keepNext w:val="0"/>
        <w:keepLines w:val="0"/>
        <w:widowControl/>
        <w:spacing w:line="360" w:lineRule="auto" w:before="0" w:after="0"/>
        <w:ind w:firstLine="709" w:left="0" w:right="0"/>
        <w:jc w:val="both"/>
      </w:pPr>
      <w:r>
        <w:rPr>
          <w:rFonts w:ascii="Times New Roman" w:hAnsi="Times New Roman" w:eastAsia="Times New Roman"/>
          <w:sz w:val="28"/>
        </w:rPr>
        <w:t>Зв’язок між максимальною подібністю до навчальної вибірки та абсолютною похибкою оцінювали за коефіцієнтом Спірмена. 95% довірчі інтервали отримували scaffold-кластерним bootstrap із 1500 ітераціями; додатково обчислювали часткову рангову кореляцію з контролем медіанного pIC50.</w:t>
      </w:r>
    </w:p>
    <w:p>
      <w:pPr>
        <w:keepNext/>
        <w:keepLines w:val="0"/>
        <w:widowControl/>
        <w:spacing w:line="360" w:lineRule="auto" w:before="160" w:after="60"/>
        <w:ind w:firstLine="0" w:left="0" w:right="0"/>
        <w:jc w:val="left"/>
      </w:pPr>
      <w:r>
        <w:rPr>
          <w:rFonts w:ascii="Times New Roman" w:hAnsi="Times New Roman" w:eastAsia="Times New Roman"/>
          <w:b/>
          <w:sz w:val="28"/>
        </w:rPr>
        <w:t>Порівняння випадкового поділу з поділом за каркасами</w:t>
      </w:r>
    </w:p>
    <w:p>
      <w:pPr>
        <w:keepNext w:val="0"/>
        <w:keepLines w:val="0"/>
        <w:widowControl/>
        <w:spacing w:line="360" w:lineRule="auto" w:before="0" w:after="0"/>
        <w:ind w:firstLine="709" w:left="0" w:right="0"/>
        <w:jc w:val="both"/>
      </w:pPr>
      <w:r>
        <w:rPr>
          <w:rFonts w:ascii="Times New Roman" w:hAnsi="Times New Roman" w:eastAsia="Times New Roman"/>
          <w:sz w:val="28"/>
        </w:rPr>
        <w:t>Для Random Forest і XGBoost на Morgan fingerprints додатково виконували випадкову п’ятикратну перехресну перевірку на тому самому наборі з 1645 сполук. Використовували три незалежні перемішування з random_state 1000, 1001 і 1002, зберігаючи ті самі параметри регресійних алгоритмів, що й в основному аналізі за каркасами.</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кожного способу поділу розраховували RMSE, MAE, R² і коефіцієнт Спірмена на сукупності OOF-прогнозів. Метрики обчислювали окремо для кожного з трьох варіантів розподілу, після чого усереднювали між ними.</w:t>
      </w:r>
    </w:p>
    <w:p>
      <w:pPr>
        <w:keepNext w:val="0"/>
        <w:keepLines w:val="0"/>
        <w:widowControl/>
        <w:spacing w:line="360" w:lineRule="auto" w:before="0" w:after="0"/>
        <w:ind w:firstLine="709" w:left="0" w:right="0"/>
        <w:jc w:val="both"/>
      </w:pPr>
      <w:r>
        <w:rPr>
          <w:rFonts w:ascii="Times New Roman" w:hAnsi="Times New Roman" w:eastAsia="Times New Roman"/>
          <w:sz w:val="28"/>
        </w:rPr>
        <w:t>Статистичну невизначеність різниці між випадковим поділом і поділом за каркасами оцінювали окремо для RMSE, MAE та R². Одиницею повторного вибору був цілий хімічний каркас. Для 95% довірчих інтервалів різниці виконували 5000 bootstrap-ітерацій із повторним вибором 544 каркасів. Двобічне p-значення отримували в 10 000 перестановках, у яких для кожного каркаса випадково міняли місцями помилки, отримані за двома стратегіями валідації.</w:t>
      </w:r>
    </w:p>
    <w:p>
      <w:pPr>
        <w:keepNext/>
        <w:keepLines w:val="0"/>
        <w:widowControl/>
        <w:spacing w:line="360" w:lineRule="auto" w:before="160" w:after="60"/>
        <w:ind w:firstLine="0" w:left="0" w:right="0"/>
        <w:jc w:val="left"/>
      </w:pPr>
      <w:r>
        <w:rPr>
          <w:rFonts w:ascii="Times New Roman" w:hAnsi="Times New Roman" w:eastAsia="Times New Roman"/>
          <w:b/>
          <w:sz w:val="28"/>
        </w:rPr>
        <w:t>Програмне забезпечення та відтворюваність</w:t>
      </w:r>
    </w:p>
    <w:p>
      <w:pPr>
        <w:keepNext w:val="0"/>
        <w:keepLines w:val="0"/>
        <w:widowControl/>
        <w:spacing w:line="360" w:lineRule="auto" w:before="0" w:after="0"/>
        <w:ind w:firstLine="709" w:left="0" w:right="0"/>
        <w:jc w:val="both"/>
      </w:pPr>
      <w:r>
        <w:rPr>
          <w:rFonts w:ascii="Times New Roman" w:hAnsi="Times New Roman" w:eastAsia="Times New Roman"/>
          <w:sz w:val="28"/>
        </w:rPr>
        <w:t xml:space="preserve">Основний benchmark виконано в Python 3.12.13 із NumPy 2.0.2, pandas 2.2.2, scikit-learn 1.6.1, SciPy 1.16.3, XGBoost 3.3.0 і RDKit 2026.03.4 [7, 9]. Додаткові аналізи виконано в Python 3.13.13 із NumPy 2.4.6, pandas 3.0.3, SciPy 1.17.1, scikit-learn 1.8.0, XGBoost 3.2.0 і RDKit 2026.03.2. Код, заморожені дані, призначення фолдів, OOF-прогнози та метадані доступні у відкритому репозиторії проєкту: </w:t>
      </w:r>
      <w:hyperlink r:id="rId10">
        <w:r>
          <w:rPr>
            <w:color w:val="0563C1"/>
            <w:u w:val="single"/>
            <w:rFonts w:ascii="Times New Roman" w:hAnsi="Times New Roman" w:eastAsia="Times New Roman"/>
            <w:sz w:val="28"/>
          </w:rPr>
          <w:t>https://github.com/snumryk/TRPA1-ML-benchmark</w:t>
        </w:r>
      </w:hyperlink>
      <w:r>
        <w:rPr>
          <w:rFonts w:ascii="Times New Roman" w:hAnsi="Times New Roman" w:eastAsia="Times New Roman"/>
          <w:sz w:val="28"/>
        </w:rPr>
        <w:t>.</w:t>
      </w:r>
    </w:p>
    <w:p>
      <w:pPr>
        <w:keepNext/>
        <w:keepLines w:val="0"/>
        <w:widowControl/>
        <w:spacing w:line="360" w:lineRule="auto" w:before="160" w:after="60"/>
        <w:ind w:firstLine="0" w:left="0" w:right="0"/>
        <w:jc w:val="left"/>
      </w:pPr>
      <w:r>
        <w:rPr>
          <w:rFonts w:ascii="Times New Roman" w:hAnsi="Times New Roman" w:eastAsia="Times New Roman"/>
          <w:b/>
          <w:sz w:val="28"/>
        </w:rPr>
        <w:t>Етичні аспекти</w:t>
      </w:r>
    </w:p>
    <w:p>
      <w:pPr>
        <w:keepNext w:val="0"/>
        <w:keepLines w:val="0"/>
        <w:widowControl/>
        <w:spacing w:line="360" w:lineRule="auto" w:before="0" w:after="0"/>
        <w:ind w:firstLine="709" w:left="0" w:right="0"/>
        <w:jc w:val="both"/>
      </w:pPr>
      <w:r>
        <w:rPr>
          <w:rFonts w:ascii="Times New Roman" w:hAnsi="Times New Roman" w:eastAsia="Times New Roman"/>
          <w:sz w:val="28"/>
        </w:rPr>
        <w:t>Дослідження було вторинним аналізом відкритих хіміко-біологічних даних і не включало роботу з людьми, персональними даними або лабораторними тваринами.</w:t>
      </w:r>
    </w:p>
    <w:p>
      <w:pPr>
        <w:keepNext/>
        <w:keepLines w:val="0"/>
        <w:widowControl/>
        <w:spacing w:line="360" w:lineRule="auto" w:before="240" w:after="120"/>
        <w:ind w:firstLine="0" w:left="0" w:right="0"/>
        <w:jc w:val="left"/>
      </w:pPr>
      <w:r>
        <w:rPr>
          <w:rFonts w:ascii="Times New Roman" w:hAnsi="Times New Roman" w:eastAsia="Times New Roman"/>
          <w:b/>
          <w:sz w:val="28"/>
        </w:rPr>
        <w:t>РЕЗУЛЬТАТИ ТА ОБГОВОРЕННЯ</w:t>
      </w:r>
    </w:p>
    <w:p>
      <w:pPr>
        <w:keepNext/>
        <w:keepLines w:val="0"/>
        <w:widowControl/>
        <w:spacing w:line="360" w:lineRule="auto" w:before="160" w:after="60"/>
        <w:ind w:firstLine="0" w:left="0" w:right="0"/>
        <w:jc w:val="left"/>
      </w:pPr>
      <w:r>
        <w:rPr>
          <w:rFonts w:ascii="Times New Roman" w:hAnsi="Times New Roman" w:eastAsia="Times New Roman"/>
          <w:b/>
          <w:sz w:val="28"/>
        </w:rPr>
        <w:t>Характеристика набору даних</w:t>
      </w:r>
    </w:p>
    <w:p>
      <w:pPr>
        <w:keepNext w:val="0"/>
        <w:keepLines w:val="0"/>
        <w:widowControl/>
        <w:spacing w:line="360" w:lineRule="auto" w:before="0" w:after="0"/>
        <w:ind w:firstLine="709" w:left="0" w:right="0"/>
        <w:jc w:val="both"/>
      </w:pPr>
      <w:r>
        <w:rPr>
          <w:rFonts w:ascii="Times New Roman" w:hAnsi="Times New Roman" w:eastAsia="Times New Roman"/>
          <w:sz w:val="28"/>
        </w:rPr>
        <w:t>Після відбору точних значень IC50 для TRPA1 людини та стандартизації молекулярних структур набір даних містив 2196 записів активності, агрегованих до 1645 унікальних сполук. Сполуки належали до 544 унікальних хімічних каркасів Bemis–Murcko; вимірювання походили з 97 assays і 55 документів ChEMBL, опублікованих у 2010–2025 роках (табл. 1). Для 1196 сполук було доступне одне вимірювання, тоді як 449 сполук мали щонайменше два вимірювання. У 393 випадках сполука була представлена щонайменше у двох assays, а у 52 — щонайменше у двох документах.</w:t>
      </w:r>
    </w:p>
    <w:p>
      <w:pPr>
        <w:keepNext w:val="0"/>
        <w:keepLines w:val="0"/>
        <w:widowControl/>
        <w:spacing w:line="360" w:lineRule="auto" w:before="0" w:after="0"/>
        <w:ind w:firstLine="709" w:left="0" w:right="0"/>
        <w:jc w:val="both"/>
      </w:pPr>
      <w:r>
        <w:rPr>
          <w:rFonts w:ascii="Times New Roman" w:hAnsi="Times New Roman" w:eastAsia="Times New Roman"/>
          <w:sz w:val="28"/>
        </w:rPr>
        <w:t>Медіана агрегованого pIC50 становила 7,32, міжквартильний інтервал — 6,63–7,88, а повний діапазон — 4,00–9,31. Отже, набір охоплював широкий спектр опублікованої інгібувальної активності. Наявність повторних вимірювань для частини сполук дала змогу окремо оцінити, чи пов’язана розбіжність літературних значень із похибкою прогнозування, однак цей аналіз стосувався лише підвибірки багаторазово досліджених молекул.</w:t>
      </w:r>
    </w:p>
    <w:p>
      <w:pPr>
        <w:keepNext/>
        <w:keepLines w:val="0"/>
        <w:widowControl/>
        <w:spacing w:line="360" w:lineRule="auto" w:before="160" w:after="60"/>
        <w:ind w:firstLine="0" w:left="0" w:right="0"/>
        <w:jc w:val="left"/>
      </w:pPr>
      <w:r>
        <w:rPr>
          <w:rFonts w:ascii="Times New Roman" w:hAnsi="Times New Roman" w:eastAsia="Times New Roman"/>
          <w:b/>
          <w:sz w:val="28"/>
        </w:rPr>
        <w:t>Прогнозування pIC50 для нових хімічних каркасів</w:t>
      </w:r>
    </w:p>
    <w:p>
      <w:pPr>
        <w:keepNext w:val="0"/>
        <w:keepLines w:val="0"/>
        <w:widowControl/>
        <w:spacing w:line="360" w:lineRule="auto" w:before="0" w:after="0"/>
        <w:ind w:firstLine="709" w:left="0" w:right="0"/>
        <w:jc w:val="both"/>
      </w:pPr>
      <w:r>
        <w:rPr>
          <w:rFonts w:ascii="Times New Roman" w:hAnsi="Times New Roman" w:eastAsia="Times New Roman"/>
          <w:sz w:val="28"/>
        </w:rPr>
        <w:t>За scaffold-валідації моделі на основі Morgan fingerprints прогнозували агреговане pIC50 істотно краще, ніж базова модель, яка передбачала середнє значення навчальної вибірки. Для Random Forest із Morgan fingerprints середні RMSE, R² і коефіцієнт Спірмена становили відповідно 0,622 ± 0,002, 0,572 ± 0,003 і 0,723 ± 0,002. Для XGBoost із тим самим представленням ці показники становили 0,626 ± 0,001, 0,567 ± 0,002 і 0,727 ± 0,007 (табл. 2). Натомість у трьох scaffold-розподілах базова модель мала RMSE 0,953–0,954 та від’ємні значення R² від −0,006 до −0,003. Таким чином, молекулярна структура містила відтворюваний сигнал, який переносився на каркаси, відсутні під час навчання.</w:t>
      </w:r>
    </w:p>
    <w:p>
      <w:pPr>
        <w:keepNext w:val="0"/>
        <w:keepLines w:val="0"/>
        <w:widowControl/>
        <w:spacing w:line="360" w:lineRule="auto" w:before="0" w:after="0"/>
        <w:ind w:firstLine="709" w:left="0" w:right="0"/>
        <w:jc w:val="both"/>
      </w:pPr>
      <w:r>
        <w:rPr>
          <w:rFonts w:ascii="Times New Roman" w:hAnsi="Times New Roman" w:eastAsia="Times New Roman"/>
          <w:sz w:val="28"/>
        </w:rPr>
        <w:t>Найвище середнє R² у повній сітці отримано для ChemBERTa-CLS у поєднанні з XGBoost: 0,574 ± 0,009 за RMSE 0,621 ± 0,006 і ρ Спірмена 0,740 ± 0,007. ChemBERTa-CLS із Random Forest дала R² 0,565 ± 0,016. Результати Morgan fingerprints були близькими до результатів ChemBERTa, тоді як MolFormer-Mean давав R² 0,552 ± 0,004 для Random Forest і 0,547 ± 0,005 для XGBoost. Найпростіший набір із 15 фізико-хімічних дескрипторів RDKit забезпечив R² 0,540 ± 0,026 із Random Forest і 0,487 ± 0,049 із XGBoost.</w:t>
      </w:r>
    </w:p>
    <w:p>
      <w:pPr>
        <w:keepNext w:val="0"/>
        <w:keepLines w:val="0"/>
        <w:widowControl/>
        <w:spacing w:line="360" w:lineRule="auto" w:before="0" w:after="0"/>
        <w:ind w:firstLine="709" w:left="0" w:right="0"/>
        <w:jc w:val="both"/>
      </w:pPr>
      <w:r>
        <w:rPr>
          <w:rFonts w:ascii="Times New Roman" w:hAnsi="Times New Roman" w:eastAsia="Times New Roman"/>
          <w:sz w:val="28"/>
        </w:rPr>
        <w:t>Отримані дані не демонструють стабільної переваги складніших попередньо навчених молекулярних представлень над Morgan fingerprints. ChemBERTa + XGBoost мала найвище середнє R², однак Morgan + Random Forest показала практично таку саму RMSE і меншу мінливість між трьома scaffold-розподілами. Тому коректний висновок полягає не в тому, що нейронні представлення «програли», а в тому, що в межах цього набору жодне з них не забезпечило виразного та стабільного прориву порівняно із сильним fingerprint-базованим контролем. Залежність переваг learned representations від розміру набору, способу попереднього навчання, downstream-алгоритму та схеми валідації також відзначали в попередніх молекулярних benchmark-дослідженнях [10–12].</w:t>
      </w:r>
    </w:p>
    <w:p>
      <w:pPr>
        <w:keepNext w:val="0"/>
        <w:keepLines w:val="0"/>
        <w:widowControl/>
        <w:spacing w:line="360" w:lineRule="auto" w:before="0" w:after="0"/>
        <w:ind w:firstLine="709" w:left="0" w:right="0"/>
        <w:jc w:val="both"/>
      </w:pPr>
      <w:r>
        <w:rPr>
          <w:rFonts w:ascii="Times New Roman" w:hAnsi="Times New Roman" w:eastAsia="Times New Roman"/>
          <w:sz w:val="28"/>
        </w:rPr>
        <w:t>Для подальших аналізів як спільне молекулярне представлення для Random Forest і XGBoost використовували Morgan fingerprints. Їхня якість у валідації за каркасами була зіставною з найкращими комбінаціями повної сітки: для Random Forest + Morgan середнє R² становило 0,572 ± 0,003, тоді як найвище значення в сітці для XGBoost + ChemBERTa-CLS — 0,574 ± 0,009. Крім того, аналіз хімічної віддаленості безпосередньо ґрунтувався на коефіцієнті Танімото між Morgan fingerprints, тому це представлення забезпечувало єдину основу для аналізу розбіжності опублікованих значень, хімічної віддаленості та порівняння стратегій поділу даних.</w:t>
      </w:r>
    </w:p>
    <w:p>
      <w:pPr>
        <w:keepNext w:val="0"/>
        <w:keepLines w:val="0"/>
        <w:widowControl/>
        <w:spacing w:line="360" w:lineRule="auto" w:before="0" w:after="0"/>
        <w:ind w:firstLine="709" w:left="0" w:right="0"/>
        <w:jc w:val="both"/>
      </w:pPr>
      <w:r>
        <w:rPr>
          <w:rFonts w:ascii="Times New Roman" w:hAnsi="Times New Roman" w:eastAsia="Times New Roman"/>
          <w:sz w:val="28"/>
        </w:rPr>
        <w:t>Оскільки жодне з представлень не забезпечило стабільної переваги, подальший аналіз спрямовано не на пошук кращої моделі, а на з’ясування того, що саме визначає похибку прогнозу. Для цього оцінювали три можливі чинники: розбіжність опублікованих значень, хімічну віддаленість тестової сполуки та спосіб поділу даних.</w:t>
      </w:r>
    </w:p>
    <w:p>
      <w:pPr>
        <w:keepNext/>
        <w:keepLines w:val="0"/>
        <w:widowControl/>
        <w:spacing w:line="360" w:lineRule="auto" w:before="160" w:after="60"/>
        <w:ind w:firstLine="0" w:left="0" w:right="0"/>
        <w:jc w:val="left"/>
      </w:pPr>
      <w:r>
        <w:rPr>
          <w:rFonts w:ascii="Times New Roman" w:hAnsi="Times New Roman" w:eastAsia="Times New Roman"/>
          <w:b/>
          <w:sz w:val="28"/>
        </w:rPr>
        <w:t>Допоміжне порівняння з класифікацією «ліганд проти випадкового decoy»</w:t>
      </w:r>
    </w:p>
    <w:p>
      <w:pPr>
        <w:keepNext w:val="0"/>
        <w:keepLines w:val="0"/>
        <w:widowControl/>
        <w:spacing w:line="360" w:lineRule="auto" w:before="0" w:after="0"/>
        <w:ind w:firstLine="709" w:left="0" w:right="0"/>
        <w:jc w:val="both"/>
      </w:pPr>
      <w:r>
        <w:rPr>
          <w:rFonts w:ascii="Times New Roman" w:hAnsi="Times New Roman" w:eastAsia="Times New Roman"/>
          <w:sz w:val="28"/>
        </w:rPr>
        <w:t>У допоміжній класифікаційній постановці відомі сполуки TRPA1 відокремлювали від випадково вибраних decoy-молекул ChEMBL майже безпомилково. Точність становила 0,9864 для Random Forest, 0,9864 для SVM і 0,9909 для повнозв’язної нейронної мережі; середня ROC AUC у десятикратній перехресній перевірці становила відповідно 0,9982, 0,9968 і 0,9983.</w:t>
      </w:r>
    </w:p>
    <w:p>
      <w:pPr>
        <w:keepNext w:val="0"/>
        <w:keepLines w:val="0"/>
        <w:widowControl/>
        <w:spacing w:line="360" w:lineRule="auto" w:before="0" w:after="0"/>
        <w:ind w:firstLine="709" w:left="0" w:right="0"/>
        <w:jc w:val="both"/>
      </w:pPr>
      <w:r>
        <w:rPr>
          <w:rFonts w:ascii="Times New Roman" w:hAnsi="Times New Roman" w:eastAsia="Times New Roman"/>
          <w:sz w:val="28"/>
        </w:rPr>
        <w:t>Ці значення не можна прямо зіставляти з R² регресійної задачі, оскільки йдеться про іншу цільову змінну та інший тип перевірки. Однак контраст між майже ідеальною класифікацією і помірною точністю scaffold-регресії показує, наскільки висновок про «якість моделі» залежить від постановки задачі. У цьому допоміжному аналізі decoys були випадковими, а не підібраними за фізико-хімічними властивостями; тому модель могла використовувати загальні відмінності між відомими лігандами та фоновими молекулами, не розв’язуючи складнішої задачі прогнозування potency для нових активних каркасів [15, 17]. Отже, цей аналіз є допоміжним відтворенням постановки задачі, а не доказом готовності моделі до проспективного віртуального скринінгу.</w:t>
      </w:r>
    </w:p>
    <w:p>
      <w:pPr>
        <w:keepNext/>
        <w:keepLines w:val="0"/>
        <w:widowControl/>
        <w:spacing w:line="360" w:lineRule="auto" w:before="160" w:after="60"/>
        <w:ind w:firstLine="0" w:left="0" w:right="0"/>
        <w:jc w:val="left"/>
      </w:pPr>
      <w:r>
        <w:rPr>
          <w:rFonts w:ascii="Times New Roman" w:hAnsi="Times New Roman" w:eastAsia="Times New Roman"/>
          <w:b/>
          <w:sz w:val="28"/>
        </w:rPr>
        <w:t>Розбіжність опублікованих значень і похибка прогнозування</w:t>
      </w:r>
    </w:p>
    <w:p>
      <w:pPr>
        <w:keepNext w:val="0"/>
        <w:keepLines w:val="0"/>
        <w:widowControl/>
        <w:spacing w:line="360" w:lineRule="auto" w:before="0" w:after="0"/>
        <w:ind w:firstLine="709" w:left="0" w:right="0"/>
        <w:jc w:val="both"/>
      </w:pPr>
      <w:r>
        <w:rPr>
          <w:rFonts w:ascii="Times New Roman" w:hAnsi="Times New Roman" w:eastAsia="Times New Roman"/>
          <w:sz w:val="28"/>
        </w:rPr>
        <w:t>На рівні різних assays аналіз охоплював 393 сполуки, що належали до 164 хімічних каркасів (рис. 2). Для основного показника розбіжності — розмаху pIC50 між assay-level медіанами — кореляція з абсолютною OOF-похибкою була додатною, але слабкою. Для Random Forest із Morgan fingerprints ρ становив 0,127; 95% довірчий інтервал — 0,001–0,256, а скориговане методом Холма p-значення — 0,046. Для XGBoost ρ становив 0,164; 95% довірчий інтервал — 0,039–0,301, p_Holm = 0,004. Після контролю медіанного pIC50 і кількості assays часткові кореляції зменшувалися до 0,071 і 0,105 відповідно.</w:t>
      </w:r>
    </w:p>
    <w:p>
      <w:pPr>
        <w:keepNext w:val="0"/>
        <w:keepLines w:val="0"/>
        <w:widowControl/>
        <w:spacing w:line="360" w:lineRule="auto" w:before="0" w:after="0"/>
        <w:ind w:firstLine="709" w:left="0" w:right="0"/>
        <w:jc w:val="both"/>
      </w:pPr>
      <w:r>
        <w:rPr>
          <w:rFonts w:ascii="Times New Roman" w:hAnsi="Times New Roman" w:eastAsia="Times New Roman"/>
          <w:sz w:val="28"/>
        </w:rPr>
        <w:t>У суворішому аналізі різних документів було лише 52 сполуки з 28 каркасів. Тут зв’язок був сильнішим: для Random Forest ρ = 0,347, 95% довірчий інтервал 0,063–0,607, p_Holm = 0,046; для XGBoost ρ = 0,449, 95% довірчий інтервал 0,109–0,698, p_Holm = 0,003. Після контролю potency і кількості документів часткові ρ залишалися 0,339 і 0,404.</w:t>
      </w:r>
    </w:p>
    <w:p>
      <w:pPr>
        <w:keepNext w:val="0"/>
        <w:keepLines w:val="0"/>
        <w:widowControl/>
        <w:spacing w:line="360" w:lineRule="auto" w:before="0" w:after="0"/>
        <w:ind w:firstLine="709" w:left="0" w:right="0"/>
        <w:jc w:val="both"/>
      </w:pPr>
      <w:r>
        <w:rPr>
          <w:rFonts w:ascii="Times New Roman" w:hAnsi="Times New Roman" w:eastAsia="Times New Roman"/>
          <w:sz w:val="28"/>
        </w:rPr>
        <w:t>Для порівняння: середня абсолютна похибка моделі становила 0,471, тоді як середня абсолютна розбіжність повторно виміряних пар «сполука–білок» у зведеному аналізі публічних даних сягає 0,83 log-одиниці [20]. Отже, похибка прогнозу не перевищує типового розходження між незалежними літературними вимірюваннями.</w:t>
      </w:r>
    </w:p>
    <w:p>
      <w:pPr>
        <w:keepNext w:val="0"/>
        <w:keepLines w:val="0"/>
        <w:widowControl/>
        <w:spacing w:line="360" w:lineRule="auto" w:before="0" w:after="0"/>
        <w:ind w:firstLine="709" w:left="0" w:right="0"/>
        <w:jc w:val="both"/>
      </w:pPr>
      <w:r>
        <w:rPr>
          <w:rFonts w:ascii="Times New Roman" w:hAnsi="Times New Roman" w:eastAsia="Times New Roman"/>
          <w:sz w:val="28"/>
        </w:rPr>
        <w:t>Таким чином, більша розбіжність опублікованих значень була пов’язана з більшою похибкою моделі, але на широкій multi-assay підвибірці цей зв’язок був невеликим. Сильніша міждокументна асоціація не повинна розглядатися як загальна оцінка для всього набору, оскільки вона отримана лише для 52 багаторазово опублікованих сполук. Результати узгоджуються з припущенням, що неоднорідність експериментальних умов є одним із джерел варіації reported pIC50, але не підтверджують універсальної «стелі» прогнозованості й не встановлюють причинного впливу конкретного параметра протоколу. Для TRPA1 правдоподібними чинниками є природа та концентрація агоніста, клітинна система, спосіб реєстрації, Ca²⁺-залежна регуляція, порядок додавання речовин і десенситизація каналу [1, 3–5, 19, 20]. У цій роботі внесок окремих чинників не ізолювали.</w:t>
      </w:r>
    </w:p>
    <w:p>
      <w:pPr>
        <w:keepNext/>
        <w:keepLines w:val="0"/>
        <w:widowControl/>
        <w:spacing w:line="360" w:lineRule="auto" w:before="160" w:after="60"/>
        <w:ind w:firstLine="0" w:left="0" w:right="0"/>
        <w:jc w:val="left"/>
      </w:pPr>
      <w:r>
        <w:rPr>
          <w:rFonts w:ascii="Times New Roman" w:hAnsi="Times New Roman" w:eastAsia="Times New Roman"/>
          <w:b/>
          <w:sz w:val="28"/>
        </w:rPr>
        <w:t>Хімічна віддаленість і область застосовності</w:t>
      </w:r>
    </w:p>
    <w:p>
      <w:pPr>
        <w:keepNext w:val="0"/>
        <w:keepLines w:val="0"/>
        <w:widowControl/>
        <w:spacing w:line="360" w:lineRule="auto" w:before="0" w:after="0"/>
        <w:ind w:firstLine="709" w:left="0" w:right="0"/>
        <w:jc w:val="both"/>
      </w:pPr>
      <w:r>
        <w:rPr>
          <w:rFonts w:ascii="Times New Roman" w:hAnsi="Times New Roman" w:eastAsia="Times New Roman"/>
          <w:sz w:val="28"/>
        </w:rPr>
        <w:t>Для всіх 1645 сполук максимальна подібність Morgan/Tanimoto до навчальної вибірки була негативно пов’язана з абсолютною OOF-похибкою (рис. 3). Для Random Forest ρ становив −0,177, 95% довірчий інтервал — від −0,242 до −0,112, p = 4,26 × 10⁻¹³. Для XGBoost отримано ρ = −0,177, 95% довірчий інтервал — від −0,240 до −0,111, p = 5,12 × 10⁻¹³. Після контролю медіанного pIC50 часткові кореляції становили −0,139 для обох моделей.</w:t>
      </w:r>
    </w:p>
    <w:p>
      <w:pPr>
        <w:keepNext w:val="0"/>
        <w:keepLines w:val="0"/>
        <w:widowControl/>
        <w:spacing w:line="360" w:lineRule="auto" w:before="0" w:after="0"/>
        <w:ind w:firstLine="709" w:left="0" w:right="0"/>
        <w:jc w:val="both"/>
      </w:pPr>
      <w:r>
        <w:rPr>
          <w:rFonts w:ascii="Times New Roman" w:hAnsi="Times New Roman" w:eastAsia="Times New Roman"/>
          <w:sz w:val="28"/>
        </w:rPr>
        <w:t>Отже, зі зменшенням схожості до найближчої навчальної молекули похибка зростала. Водночас величина кореляції залишалася невеликою: сама лише Tanimoto similarity не дає достатньої інформації для точного передбачення індивідуальної похибки. Її доцільно розглядати як простий індикатор області застосовності, а не як жорсткий поріг надійності [18]. Цей результат доповнює scaffold-валідацію: навіть після повного розділення каркасів ступінь локальної хімічної близькості до train залишається пов’язаним із точністю прогнозу.</w:t>
      </w:r>
    </w:p>
    <w:p>
      <w:pPr>
        <w:keepNext/>
        <w:keepLines w:val="0"/>
        <w:widowControl/>
        <w:spacing w:line="360" w:lineRule="auto" w:before="160" w:after="60"/>
        <w:ind w:firstLine="0" w:left="0" w:right="0"/>
        <w:jc w:val="left"/>
      </w:pPr>
      <w:r>
        <w:rPr>
          <w:rFonts w:ascii="Times New Roman" w:hAnsi="Times New Roman" w:eastAsia="Times New Roman"/>
          <w:b/>
          <w:sz w:val="28"/>
        </w:rPr>
        <w:t>Вплив стратегії поділу даних</w:t>
      </w:r>
    </w:p>
    <w:p>
      <w:pPr>
        <w:keepNext w:val="0"/>
        <w:keepLines w:val="0"/>
        <w:widowControl/>
        <w:spacing w:line="360" w:lineRule="auto" w:before="0" w:after="0"/>
        <w:ind w:firstLine="709" w:left="0" w:right="0"/>
        <w:jc w:val="both"/>
      </w:pPr>
      <w:r>
        <w:rPr>
          <w:rFonts w:ascii="Times New Roman" w:hAnsi="Times New Roman" w:eastAsia="Times New Roman"/>
          <w:sz w:val="28"/>
        </w:rPr>
        <w:t>Найвиразніший систематичний зсув показників якості виникав при зміні стратегії валідації (рис. 4). Для Random Forest із Morgan fingerprints середнє R² збільшувалося з 0,572 ± 0,003 за scaffold split до 0,640 ± 0,005 за random split. Для XGBoost відповідні значення становили 0,567 ± 0,002 і 0,638 ± 0,002. Підвищення R² при random split дорівнювало 0,068 для Random Forest із 95% довірчим інтервалом 0,039–0,101 і 0,071 для XGBoost із довірчим інтервалом 0,045–0,102. RMSE, MAE та коефіцієнт Спірмена також змінювалися в сприятливому для random split напрямку.</w:t>
      </w:r>
    </w:p>
    <w:p>
      <w:pPr>
        <w:keepNext w:val="0"/>
        <w:keepLines w:val="0"/>
        <w:widowControl/>
        <w:spacing w:line="360" w:lineRule="auto" w:before="0" w:after="0"/>
        <w:ind w:firstLine="709" w:left="0" w:right="0"/>
        <w:jc w:val="both"/>
      </w:pPr>
      <w:r>
        <w:rPr>
          <w:rFonts w:ascii="Times New Roman" w:hAnsi="Times New Roman" w:eastAsia="Times New Roman"/>
          <w:sz w:val="28"/>
        </w:rPr>
        <w:t>При random split у середньому 79,0% тестових молекул мали хімічний каркас, уже присутній у навчальній вибірці. Тому random validation значною мірою оцінювала інтерполяцію всередині відомих scaffold families, тоді як scaffold validation вимагала перенесення на нові каркаси. У нашому наборі це безпосередньо проявилося систематично вищими показниками якості за random split, тобто оптимістичнішою оцінкою здатності моделі переноситися на структурно нові сполуки [11, 15, 16]. Для задачі пошуку структурно нових інгібіторів TRPA1 саме scaffold-валідація є більш релевантною перевіркою, тоді як random split може бути корисним для іншого сценарію — прогнозування нових аналогів у межах уже відомих хімічних серій [10, 11, 16].</w:t>
      </w:r>
    </w:p>
    <w:p>
      <w:pPr>
        <w:keepNext/>
        <w:keepLines w:val="0"/>
        <w:widowControl/>
        <w:spacing w:line="360" w:lineRule="auto" w:before="160" w:after="60"/>
        <w:ind w:firstLine="0" w:left="0" w:right="0"/>
        <w:jc w:val="left"/>
      </w:pPr>
      <w:r>
        <w:rPr>
          <w:rFonts w:ascii="Times New Roman" w:hAnsi="Times New Roman" w:eastAsia="Times New Roman"/>
          <w:b/>
          <w:sz w:val="28"/>
        </w:rPr>
        <w:t>Узагальнення результатів та обмеження інтерпретації</w:t>
      </w:r>
    </w:p>
    <w:p>
      <w:pPr>
        <w:keepNext w:val="0"/>
        <w:keepLines w:val="0"/>
        <w:widowControl/>
        <w:spacing w:line="360" w:lineRule="auto" w:before="0" w:after="0"/>
        <w:ind w:firstLine="709" w:left="0" w:right="0"/>
        <w:jc w:val="both"/>
      </w:pPr>
      <w:r>
        <w:rPr>
          <w:rFonts w:ascii="Times New Roman" w:hAnsi="Times New Roman" w:eastAsia="Times New Roman"/>
          <w:sz w:val="28"/>
        </w:rPr>
        <w:t>У сукупності результати показують, що структура молекули дає реальний сигнал для прогнозування агрегованого pIC50 TRPA1 людини навіть за відсутності тестового каркаса у навчальній вибірці, однак точність такої екстраполяції залишається обмеженою. Найкращі результати ChemBERTa + XGBoost і Morgan + Random Forest були близькими, тому вибір складнішого molecular representation сам по собі не усунув основну похибку. Значно сильніше видиму якість змінювала стратегія поділу даних. Хімічна віддаленість демонструвала невеликий, але стабільний зв’язок із похибкою, а розбіжність опублікованих значень — слабкий зв’язок на рівні різних assays і сильніший зв’язок лише в малій міждокументній підвибірці.</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Основною особливістю цільової змінної є те, що вона являє собою медіану літературних значень для стандартизованої сполуки. Отже, модель прогнозує агреговану reported potency, а не IC50, яке гарантовано відтвориться в одному визначеному протоколі. Крім того, робота є ретроспективною: вона не містить проспективного скринінгу нових молекул і лабораторної перевірки прогнозів. Аналіз не встановлює причинного внеску окремих assay-параметрів, а міждокументний результат ґрунтується лише на 52 сполуках. Допоміжна ligand-versus-random-decoy classification також не повинна трактуватися як зовнішня валідація регресійної моделі.</w:t>
      </w:r>
    </w:p>
    <w:p>
      <w:pPr>
        <w:keepNext w:val="0"/>
        <w:keepLines w:val="0"/>
        <w:widowControl/>
        <w:spacing w:line="360" w:lineRule="auto" w:before="0" w:after="0"/>
        <w:ind w:firstLine="709" w:left="0" w:right="0"/>
        <w:jc w:val="both"/>
      </w:pPr>
      <w:r>
        <w:rPr>
          <w:rFonts w:ascii="Times New Roman" w:hAnsi="Times New Roman" w:eastAsia="Times New Roman"/>
          <w:sz w:val="28"/>
        </w:rPr>
        <w:t>Пізніший аудит показав, що 27 записів із 12 assays були визнані непридатними; під час навчання моделей вони залишалися в зафіксованому наборі й ретроспективно не вилучалися. Це слід враховувати під час інтерпретації біологічної однорідності набору та отриманих оцінок.</w:t>
      </w:r>
    </w:p>
    <w:p>
      <w:pPr>
        <w:keepNext w:val="0"/>
        <w:keepLines w:val="0"/>
        <w:widowControl/>
        <w:spacing w:line="360" w:lineRule="auto" w:before="0" w:after="0"/>
        <w:ind w:firstLine="709" w:left="0" w:right="0"/>
        <w:jc w:val="both"/>
      </w:pPr>
      <w:r>
        <w:rPr>
          <w:rFonts w:ascii="Times New Roman" w:hAnsi="Times New Roman" w:eastAsia="Times New Roman"/>
          <w:sz w:val="28"/>
        </w:rPr>
        <w:t>Тому практичне використання отриманих моделей має спиратися на scaffold-aware оцінку, врахування хімічної близькості до навчального набору та експериментальне підтвердження відібраних кандидатів. Поточні результати обґрунтовують застосування моделі як інструмента пріоритизації сполук, але не як заміну вимірюванню активності й не як доказ проспективного відкриття нових антагоністів.</w:t>
      </w:r>
    </w:p>
    <w:p>
      <w:pPr>
        <w:keepNext/>
        <w:keepLines w:val="0"/>
        <w:widowControl/>
        <w:spacing w:line="360" w:lineRule="auto" w:before="240" w:after="120"/>
        <w:ind w:firstLine="0" w:left="0" w:right="0"/>
        <w:jc w:val="left"/>
      </w:pPr>
      <w:r>
        <w:rPr>
          <w:rFonts w:ascii="Times New Roman" w:hAnsi="Times New Roman" w:eastAsia="Times New Roman"/>
          <w:b/>
          <w:sz w:val="28"/>
        </w:rPr>
        <w:t>ВИСНОВКИ</w:t>
      </w:r>
    </w:p>
    <w:p>
      <w:pPr>
        <w:widowControl/>
        <w:spacing w:line="360" w:lineRule="auto" w:before="0" w:after="0"/>
        <w:ind w:left="454" w:hanging="454"/>
        <w:jc w:val="both"/>
      </w:pPr>
      <w:r>
        <w:rPr>
          <w:rFonts w:ascii="Times New Roman" w:hAnsi="Times New Roman" w:eastAsia="Times New Roman"/>
          <w:sz w:val="28"/>
        </w:rPr>
        <w:t>1. Молекулярна структура містить відтворюваний сигнал для прогнозування агрегованого pIC50 інгібування TRPA1 людини для хімічних каркасів, відсутніх у навчальній вибірці: моделі на Morgan fingerprints за scaffold-валідації досягали R² близько 0,57 і перевищували базове передбачення середнього значення.</w:t>
      </w:r>
    </w:p>
    <w:p>
      <w:pPr>
        <w:widowControl/>
        <w:spacing w:line="360" w:lineRule="auto" w:before="0" w:after="0"/>
        <w:ind w:left="454" w:hanging="454"/>
        <w:jc w:val="both"/>
      </w:pPr>
      <w:r>
        <w:rPr>
          <w:rFonts w:ascii="Times New Roman" w:hAnsi="Times New Roman" w:eastAsia="Times New Roman"/>
          <w:sz w:val="28"/>
        </w:rPr>
        <w:t>2. Жодне з досліджених попередньо навчених молекулярних представлень не забезпечило виразної та стабільної переваги над Morgan fingerprints; найкращі результати ChemBERTa у поєднанні з XGBoost і Morgan fingerprints у поєднанні з Random Forest були близькими.</w:t>
      </w:r>
    </w:p>
    <w:p>
      <w:pPr>
        <w:widowControl/>
        <w:spacing w:line="360" w:lineRule="auto" w:before="0" w:after="0"/>
        <w:ind w:left="454" w:hanging="454"/>
        <w:jc w:val="both"/>
      </w:pPr>
      <w:r>
        <w:rPr>
          <w:rFonts w:ascii="Times New Roman" w:hAnsi="Times New Roman" w:eastAsia="Times New Roman"/>
          <w:sz w:val="28"/>
        </w:rPr>
        <w:t>3. Розбіжність опублікованих значень pIC50 була пов’язана з похибкою слабко на рівні різних assays і сильніше лише в малій міждокументній підвибірці. Хімічна віддаленість від навчальної вибірки також демонструвала невеликий, але стабільний зв’язок із похибкою.</w:t>
      </w:r>
    </w:p>
    <w:p>
      <w:pPr>
        <w:widowControl/>
        <w:spacing w:line="360" w:lineRule="auto" w:before="0" w:after="0"/>
        <w:ind w:left="454" w:hanging="454"/>
        <w:jc w:val="both"/>
      </w:pPr>
      <w:r>
        <w:rPr>
          <w:rFonts w:ascii="Times New Roman" w:hAnsi="Times New Roman" w:eastAsia="Times New Roman"/>
          <w:sz w:val="28"/>
        </w:rPr>
        <w:t>4. Стратегія валідації істотно впливала на видиму якість моделей: random split давав оптимістичнішу оцінку, ніж scaffold split. Тому для оцінювання перенесення на структурно нові сполуки доцільно використовувати scaffold-aware validation і трактувати прогнози як інструмент пріоритизації, що потребує експериментального підтвердження.</w:t>
      </w:r>
    </w:p>
    <w:p>
      <w:r>
        <w:rPr>
          <w:rFonts w:ascii="Times New Roman" w:hAnsi="Times New Roman" w:eastAsia="Times New Roman"/>
          <w:sz w:val="28"/>
        </w:rPr>
        <w:br w:type="page"/>
      </w:r>
    </w:p>
    <w:p>
      <w:pPr>
        <w:keepNext/>
        <w:keepLines w:val="0"/>
        <w:widowControl/>
        <w:spacing w:line="360" w:lineRule="auto" w:before="240" w:after="120"/>
        <w:ind w:firstLine="0" w:left="0" w:right="0"/>
        <w:jc w:val="left"/>
      </w:pPr>
      <w:r>
        <w:rPr>
          <w:rFonts w:ascii="Times New Roman" w:hAnsi="Times New Roman" w:eastAsia="Times New Roman"/>
          <w:b/>
          <w:sz w:val="28"/>
        </w:rPr>
        <w:t>СПИСОК ЛІТЕРАТУРИ</w:t>
      </w:r>
    </w:p>
    <w:p>
      <w:pPr>
        <w:spacing w:line="360" w:lineRule="auto" w:before="0" w:after="0"/>
        <w:ind w:left="454" w:hanging="454"/>
        <w:jc w:val="left"/>
      </w:pPr>
      <w:r>
        <w:rPr>
          <w:rFonts w:ascii="Times New Roman" w:hAnsi="Times New Roman" w:eastAsia="Times New Roman"/>
          <w:sz w:val="28"/>
        </w:rPr>
        <w:t>1. Talavera K, Startek JB, Alvarez-Collazo J, Boonen B, Alpizar YA, Sanchez A, Naert R, Nilius B. Mammalian transient receptor potential TRPA1 channels: from structure to disease. Physiol Rev. 2020;100(2):725-803. doi: 10.1152/physrev.00005.2019.</w:t>
      </w:r>
    </w:p>
    <w:p>
      <w:pPr>
        <w:spacing w:line="360" w:lineRule="auto" w:before="0" w:after="0"/>
        <w:ind w:left="454" w:hanging="454"/>
        <w:jc w:val="left"/>
      </w:pPr>
      <w:r>
        <w:rPr>
          <w:rFonts w:ascii="Times New Roman" w:hAnsi="Times New Roman" w:eastAsia="Times New Roman"/>
          <w:sz w:val="28"/>
        </w:rPr>
        <w:t>2. de Araujo DSM, Nassini R, Geppetti P, De Logu F. TRPA1 as a therapeutic target for nociceptive pain. Expert Opin Ther Targets. 2020;24(10):997-1008. doi: 10.1080/14728222.2020.1815191.</w:t>
      </w:r>
    </w:p>
    <w:p>
      <w:pPr>
        <w:spacing w:line="360" w:lineRule="auto" w:before="0" w:after="0"/>
        <w:ind w:left="454" w:hanging="454"/>
        <w:jc w:val="left"/>
      </w:pPr>
      <w:r>
        <w:rPr>
          <w:rFonts w:ascii="Times New Roman" w:hAnsi="Times New Roman" w:eastAsia="Times New Roman"/>
          <w:sz w:val="28"/>
        </w:rPr>
        <w:t>3. Zurborg S, Yurgionas B, Jira JA, Caspani O, Heppenstall PA. Direct activation of the ion channel TRPA1 by Ca2+. Nat Neurosci. 2007;10(3):277-279. doi: 10.1038/nn1843.</w:t>
      </w:r>
    </w:p>
    <w:p>
      <w:pPr>
        <w:spacing w:line="360" w:lineRule="auto" w:before="0" w:after="0"/>
        <w:ind w:left="454" w:hanging="454"/>
        <w:jc w:val="left"/>
      </w:pPr>
      <w:r>
        <w:rPr>
          <w:rFonts w:ascii="Times New Roman" w:hAnsi="Times New Roman" w:eastAsia="Times New Roman"/>
          <w:sz w:val="28"/>
        </w:rPr>
        <w:t>4. Akopian AN, Ruparel NB, Jeske NA, Hargreaves KM. Transient receptor potential TRPA1 channel desensitization in sensory neurons is agonist dependent and regulated by TRPV1-directed internalization. J Physiol. 2007;583(Pt 1):175-193. doi: 10.1113/jphysiol.2007.133231.</w:t>
      </w:r>
    </w:p>
    <w:p>
      <w:pPr>
        <w:spacing w:line="360" w:lineRule="auto" w:before="0" w:after="0"/>
        <w:ind w:left="454" w:hanging="454"/>
        <w:jc w:val="left"/>
      </w:pPr>
      <w:r>
        <w:rPr>
          <w:rFonts w:ascii="Times New Roman" w:hAnsi="Times New Roman" w:eastAsia="Times New Roman"/>
          <w:sz w:val="28"/>
        </w:rPr>
        <w:t>5. McClenaghan C, Zeng F, Verkuyl JM. TRPA1 agonist activity of probenecid desensitizes channel responses: consequences for screening. Assay Drug Dev Technol. 2012;10(6):533-541. doi: 10.1089/adt.2012.447.</w:t>
      </w:r>
    </w:p>
    <w:p>
      <w:pPr>
        <w:spacing w:line="360" w:lineRule="auto" w:before="0" w:after="0"/>
        <w:ind w:left="454" w:hanging="454"/>
        <w:jc w:val="left"/>
      </w:pPr>
      <w:r>
        <w:rPr>
          <w:rFonts w:ascii="Times New Roman" w:hAnsi="Times New Roman" w:eastAsia="Times New Roman"/>
          <w:sz w:val="28"/>
        </w:rPr>
        <w:t>6. Gaulton A, Hersey A, Nowotka M, Bento AP, Chambers J, Mendez D, Mutowo P, Atkinson F, Bellis LJ, Cibrian-Uhalte E, Davies M, Dedman N, Karlsson A, Magarinos MP, Overington JP, Papadatos G, Smit I, Leach AR. The ChEMBL database in 2017. Nucleic Acids Res. 2017;45(D1):D945-D954. doi: 10.1093/nar/gkw1074.</w:t>
      </w:r>
    </w:p>
    <w:p>
      <w:pPr>
        <w:spacing w:line="360" w:lineRule="auto" w:before="0" w:after="0"/>
        <w:ind w:left="454" w:hanging="454"/>
        <w:jc w:val="left"/>
      </w:pPr>
      <w:r>
        <w:rPr>
          <w:rFonts w:ascii="Times New Roman" w:hAnsi="Times New Roman" w:eastAsia="Times New Roman"/>
          <w:sz w:val="28"/>
        </w:rPr>
        <w:t>7. Bento AP, Hersey A, Felix E, Landrum G, Gaulton A, Atkinson F, Bellis LJ, De Veij M, Leach AR. An open source chemical structure curation pipeline using RDKit. J Cheminform. 2020;12(1):51. doi: 10.1186/s13321-020-00456-1.</w:t>
      </w:r>
    </w:p>
    <w:p>
      <w:pPr>
        <w:spacing w:line="360" w:lineRule="auto" w:before="0" w:after="0"/>
        <w:ind w:left="454" w:hanging="454"/>
        <w:jc w:val="left"/>
      </w:pPr>
      <w:r>
        <w:rPr>
          <w:rFonts w:ascii="Times New Roman" w:hAnsi="Times New Roman" w:eastAsia="Times New Roman"/>
          <w:sz w:val="28"/>
        </w:rPr>
        <w:t>8. Rogers D, Hahn M. Extended-connectivity fingerprints. J Chem Inf Model. 2010;50(5):742-754. doi: 10.1021/ci100050t.</w:t>
      </w:r>
    </w:p>
    <w:p>
      <w:pPr>
        <w:spacing w:line="360" w:lineRule="auto" w:before="0" w:after="0"/>
        <w:ind w:left="454" w:hanging="454"/>
        <w:jc w:val="left"/>
      </w:pPr>
      <w:r>
        <w:rPr>
          <w:rFonts w:ascii="Times New Roman" w:hAnsi="Times New Roman" w:eastAsia="Times New Roman"/>
          <w:sz w:val="28"/>
        </w:rPr>
        <w:t>9. Chen T, Guestrin C. XGBoost: a scalable tree boosting system. In: Proceedings of the 22nd ACM SIGKDD International Conference on Knowledge Discovery and Data Mining (KDD '16). New York: ACM; 2016. p. 785-794. doi: 10.1145/2939672.2939785.</w:t>
      </w:r>
    </w:p>
    <w:p>
      <w:pPr>
        <w:spacing w:line="360" w:lineRule="auto" w:before="0" w:after="0"/>
        <w:ind w:left="454" w:hanging="454"/>
        <w:jc w:val="left"/>
      </w:pPr>
      <w:r>
        <w:rPr>
          <w:rFonts w:ascii="Times New Roman" w:hAnsi="Times New Roman" w:eastAsia="Times New Roman"/>
          <w:sz w:val="28"/>
        </w:rPr>
        <w:t>10. Yang K, Swanson K, Jin W, Coley CW, Eiden P, Gao H, Guzman-Perez A, Hopper T, Kelley B, Mathea M, Palmer A, Settels V, Jaakkola T, Jensen KF, Barzilay R. Analyzing learned molecular representations for property prediction. J Chem Inf Model. 2019;59(8):3370-3388. doi: 10.1021/acs.jcim.9b00237.</w:t>
      </w:r>
    </w:p>
    <w:p>
      <w:pPr>
        <w:spacing w:line="360" w:lineRule="auto" w:before="0" w:after="0"/>
        <w:ind w:left="454" w:hanging="454"/>
        <w:jc w:val="left"/>
      </w:pPr>
      <w:r>
        <w:rPr>
          <w:rFonts w:ascii="Times New Roman" w:hAnsi="Times New Roman" w:eastAsia="Times New Roman"/>
          <w:sz w:val="28"/>
        </w:rPr>
        <w:t>11. Wu Z, Ramsundar B, Feinberg EN, Gomes J, Geniesse C, Pappu AS, Leswing K, Pande V. MoleculeNet: a benchmark for molecular machine learning. Chem Sci. 2018;9(2):513-530. doi: 10.1039/C7SC02664A.</w:t>
      </w:r>
    </w:p>
    <w:p>
      <w:pPr>
        <w:spacing w:line="360" w:lineRule="auto" w:before="0" w:after="0"/>
        <w:ind w:left="454" w:hanging="454"/>
        <w:jc w:val="left"/>
      </w:pPr>
      <w:r>
        <w:rPr>
          <w:rFonts w:ascii="Times New Roman" w:hAnsi="Times New Roman" w:eastAsia="Times New Roman"/>
          <w:sz w:val="28"/>
        </w:rPr>
        <w:t>12. Rollins ZA, Cheng AC, Metwally E. MolPROP: Molecular Property prediction with multimodal language and graph fusion. J Cheminform. 2024;16(1):56. doi: 10.1186/s13321-024-00846-9.</w:t>
      </w:r>
    </w:p>
    <w:p>
      <w:pPr>
        <w:spacing w:line="360" w:lineRule="auto" w:before="0" w:after="0"/>
        <w:ind w:left="454" w:hanging="454"/>
        <w:jc w:val="left"/>
      </w:pPr>
      <w:r>
        <w:rPr>
          <w:rFonts w:ascii="Times New Roman" w:hAnsi="Times New Roman" w:eastAsia="Times New Roman"/>
          <w:sz w:val="28"/>
        </w:rPr>
        <w:t>13. Mihai DP, Trif C, Stancov G, Radulescu D, Nitulescu GM. Artificial intelligence algorithms for discovering new active compounds targeting TRPA1 pain receptors. AI. 2020;1(2):276-285. doi: 10.3390/ai1020018.</w:t>
      </w:r>
    </w:p>
    <w:p>
      <w:pPr>
        <w:spacing w:line="360" w:lineRule="auto" w:before="0" w:after="0"/>
        <w:ind w:left="454" w:hanging="454"/>
        <w:jc w:val="left"/>
      </w:pPr>
      <w:r>
        <w:rPr>
          <w:rFonts w:ascii="Times New Roman" w:hAnsi="Times New Roman" w:eastAsia="Times New Roman"/>
          <w:sz w:val="28"/>
        </w:rPr>
        <w:t>14. Mihai DP, Nitulescu GM, Ion GND, Ciotu CI, Chirita C, Negres S. Computational drug repurposing algorithm targeting TRPA1 calcium channel as a potential therapeutic solution for multiple sclerosis. Pharmaceutics. 2019;11(9):446. doi: 10.3390/pharmaceutics11090446.</w:t>
      </w:r>
    </w:p>
    <w:p>
      <w:pPr>
        <w:spacing w:line="360" w:lineRule="auto" w:before="0" w:after="0"/>
        <w:ind w:left="454" w:hanging="454"/>
        <w:jc w:val="left"/>
      </w:pPr>
      <w:r>
        <w:rPr>
          <w:rFonts w:ascii="Times New Roman" w:hAnsi="Times New Roman" w:eastAsia="Times New Roman"/>
          <w:sz w:val="28"/>
        </w:rPr>
        <w:t>15. Wallach I, Heifets A. Most ligand-based classification benchmarks reward memorization rather than generalization. J Chem Inf Model. 2018;58(5):916-932. doi: 10.1021/acs.jcim.7b00403.</w:t>
      </w:r>
    </w:p>
    <w:p>
      <w:pPr>
        <w:spacing w:line="360" w:lineRule="auto" w:before="0" w:after="0"/>
        <w:ind w:left="454" w:hanging="454"/>
        <w:jc w:val="left"/>
      </w:pPr>
      <w:r>
        <w:rPr>
          <w:rFonts w:ascii="Times New Roman" w:hAnsi="Times New Roman" w:eastAsia="Times New Roman"/>
          <w:sz w:val="28"/>
        </w:rPr>
        <w:t>16. Sheridan RP. Time-split cross-validation as a method for estimating the goodness of prospective prediction. J Chem Inf Model. 2013;53(4):783-790. doi: 10.1021/ci400084k.</w:t>
      </w:r>
    </w:p>
    <w:p>
      <w:pPr>
        <w:spacing w:line="360" w:lineRule="auto" w:before="0" w:after="0"/>
        <w:ind w:left="454" w:hanging="454"/>
        <w:jc w:val="left"/>
      </w:pPr>
      <w:r>
        <w:rPr>
          <w:rFonts w:ascii="Times New Roman" w:hAnsi="Times New Roman" w:eastAsia="Times New Roman"/>
          <w:sz w:val="28"/>
        </w:rPr>
        <w:t>17. Mysinger MM, Carchia M, Irwin JJ, Shoichet BK. Directory of useful decoys, enhanced (DUD-E): better ligands and decoys for better benchmarking. J Med Chem. 2012;55(14):6582-6594. doi: 10.1021/jm300687e.</w:t>
      </w:r>
    </w:p>
    <w:p>
      <w:pPr>
        <w:spacing w:line="360" w:lineRule="auto" w:before="0" w:after="0"/>
        <w:ind w:left="454" w:hanging="454"/>
        <w:jc w:val="left"/>
      </w:pPr>
      <w:r>
        <w:rPr>
          <w:rFonts w:ascii="Times New Roman" w:hAnsi="Times New Roman" w:eastAsia="Times New Roman"/>
          <w:sz w:val="28"/>
        </w:rPr>
        <w:t>18. Sheridan RP. Three useful dimensions for domain applicability in QSAR models using random forest. J Chem Inf Model. 2012;52(3):814-823. doi: 10.1021/ci300004n.</w:t>
      </w:r>
    </w:p>
    <w:p>
      <w:pPr>
        <w:spacing w:line="360" w:lineRule="auto" w:before="0" w:after="0"/>
        <w:ind w:left="454" w:hanging="454"/>
        <w:jc w:val="left"/>
      </w:pPr>
      <w:r>
        <w:rPr>
          <w:rFonts w:ascii="Times New Roman" w:hAnsi="Times New Roman" w:eastAsia="Times New Roman"/>
          <w:sz w:val="28"/>
        </w:rPr>
        <w:t>19. Landrum GA, Riniker S. Combining IC50 or Ki values from different sources is a source of significant noise. J Chem Inf Model. 2024;64(5):1560-1567. doi: 10.1021/acs.jcim.4c00049.</w:t>
      </w:r>
    </w:p>
    <w:p>
      <w:pPr>
        <w:spacing w:line="360" w:lineRule="auto" w:before="0" w:after="0"/>
        <w:ind w:left="454" w:hanging="454"/>
        <w:jc w:val="left"/>
      </w:pPr>
      <w:r>
        <w:rPr>
          <w:rFonts w:ascii="Times New Roman" w:hAnsi="Times New Roman" w:eastAsia="Times New Roman"/>
          <w:sz w:val="28"/>
        </w:rPr>
        <w:t>20. Schoenmaker L, Sastrokarijo EG, Heitman LH, Beltman JB, Jespers W, van Westen GJP. Toward assay-aware bioactivity model(er)s: getting a grip on biological context. J Chem Inf Model. 2025;65(13):7013-7023. doi: 10.1021/acs.jcim.5c00603.</w:t>
      </w:r>
    </w:p>
    <w:sectPr w:rsidR="00FC693F" w:rsidRPr="0006063C" w:rsidSect="00034616">
      <w:footerReference w:type="default" r:id="rId9"/>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numryk/TRPA1-ML-bench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Машинне навчання для прогнозування інгібування TRPA1 людини: валідація за хімічними каркасами, хімічна віддаленість і неоднорідність літературних даних</dc:title>
  <dc:subject>TRPA1 machine-learning manuscript</dc:subject>
  <dc:creator/>
  <cp:keywords>TRPA1; machine learning; pIC50; scaffold validation; ChEMBL</cp:keywords>
  <dc:description>Revised manuscript; references renumbered by order of first appearance.</dc:description>
  <cp:lastModifiedBy/>
  <cp:revision>1</cp:revision>
  <dcterms:created xsi:type="dcterms:W3CDTF">2013-12-23T23:15:00Z</dcterms:created>
  <dcterms:modified xsi:type="dcterms:W3CDTF">2013-12-23T23:15:00Z</dcterms:modified>
  <cp:category/>
</cp:coreProperties>
</file>