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eastAsia="Times New Roman"/>
          <w:b/>
          <w:sz w:val="28"/>
        </w:rPr>
        <w:t>ВСТУП</w:t>
      </w:r>
    </w:p>
    <w:p>
      <w:pPr>
        <w:spacing w:line="360" w:lineRule="auto" w:before="0" w:after="0"/>
        <w:ind w:firstLine="709"/>
        <w:jc w:val="both"/>
      </w:pPr>
      <w:r>
        <w:rPr>
          <w:rFonts w:ascii="Times New Roman" w:hAnsi="Times New Roman" w:eastAsia="Times New Roman"/>
          <w:sz w:val="28"/>
        </w:rPr>
        <w:t>Транзієнтний рецепторний потенціал анкіриновий 1 (TRPA1) — неселективний катіонний канал, представлений, зокрема, у периферичних сенсорних нейронах. Він реагує на широкий спектр хімічних подразників і ендогенних сигналів ушкодження та бере участь у формуванні ноцицептивної, запальної й нейрогенної больової відповіді [1, 2]. Поєднання периферичної локалізації з участю в сенситизації ноцицепторів зробило TRPA1 перспективною фармакологічною мішенню для пошуку ненаркотичних аналгетиків. Водночас функціональна відповідь каналу залежить від способу його активації, внутрішньоклітинного Ca2+ і процесів десенситизації, що ускладнює пряме зіставлення результатів, отриманих у різних експериментальних системах [1, 16–18].</w:t>
      </w:r>
    </w:p>
    <w:p>
      <w:pPr>
        <w:spacing w:line="360" w:lineRule="auto" w:before="0" w:after="0"/>
        <w:ind w:firstLine="709"/>
        <w:jc w:val="both"/>
      </w:pPr>
      <w:r>
        <w:rPr>
          <w:rFonts w:ascii="Times New Roman" w:hAnsi="Times New Roman" w:eastAsia="Times New Roman"/>
          <w:sz w:val="28"/>
        </w:rPr>
        <w:t>Експериментальне дослідження великої кількості кандидатних сполук потребує попередньої пріоритезації. Прогноз активності за молекулярною структурою дає змогу оцінювати ще не перевірені сполуки й відбирати найперспективніші з них для подальшого тестування. Розвиток відкритих баз біоактивності, насамперед ChEMBL, і відтворюваних хемоінформатичних інструментів створив основу для таких досліджень [5, 6]. Для представлення структури можуть використовуватися, зокрема, extended-connectivity fingerprints, а для регресії — ансамблеві алгоритми на кшталт XGBoost [7, 8]. Поряд із ними застосовують попередньо навчені молекулярні представлення, однак їхня перевага над традиційними fingerprints і фізико-хімічними дескрипторами залежить від набору даних, алгоритму та схеми оцінювання [9, 10].</w:t>
      </w:r>
    </w:p>
    <w:p>
      <w:pPr>
        <w:spacing w:line="360" w:lineRule="auto" w:before="0" w:after="0"/>
        <w:ind w:firstLine="709"/>
        <w:jc w:val="both"/>
      </w:pPr>
      <w:r>
        <w:rPr>
          <w:rFonts w:ascii="Times New Roman" w:hAnsi="Times New Roman" w:eastAsia="Times New Roman"/>
          <w:sz w:val="28"/>
        </w:rPr>
        <w:t>Для TRPA1 уже запропоновано QSAR- і машинно-навчальні підходи до пошуку активних сполук. Зокрема, моделі використовували для прогнозування інгібіторів TRPA1, віртуального перепрофілювання лікарських засобів і класифікації відомих лігандів відносно випадково відібраних decoy-сполук [3, 4]. Ці роботи показали, що структурні ознаки містять корисний сигнал, однак самі по собі високі метрики ще не визначають здатність моделі переносити прогноз на нові хімічні серії.</w:t>
      </w:r>
    </w:p>
    <w:p>
      <w:pPr>
        <w:spacing w:line="360" w:lineRule="auto" w:before="0" w:after="0"/>
        <w:ind w:firstLine="709"/>
        <w:jc w:val="both"/>
      </w:pPr>
      <w:r>
        <w:rPr>
          <w:rFonts w:ascii="Times New Roman" w:hAnsi="Times New Roman" w:eastAsia="Times New Roman"/>
          <w:sz w:val="28"/>
        </w:rPr>
        <w:t>Оцінка молекулярної моделі істотно залежить від постановки задачі та способу валідації. За випадкового поділу близькі аналоги або сполуки зі спільним каркасом можуть опинитися одночасно в навчальній і тестовій вибірках; у такому разі модель значною мірою інтерполює всередині вже відомих хімічних серій. Поділ за каркасами є суворішою перевіркою узагальнення на структурно нові сполуки [10, 14, 20]. Так само класифікація відомих лігандів проти випадкових, не підібраних за властивостями decoys може бути значно легшою за прогноз кількісної активності й давати оптимістичне уявлення про практичну цінність моделі [14, 15]. Надійність окремого прогнозу також пов’язана з хімічною близькістю тестової молекули до навчального набору, тобто з областю застосовності моделі [19].</w:t>
      </w:r>
    </w:p>
    <w:p>
      <w:pPr>
        <w:spacing w:line="360" w:lineRule="auto" w:before="0" w:after="0"/>
        <w:ind w:firstLine="709"/>
        <w:jc w:val="both"/>
      </w:pPr>
      <w:r>
        <w:rPr>
          <w:rFonts w:ascii="Times New Roman" w:hAnsi="Times New Roman" w:eastAsia="Times New Roman"/>
          <w:sz w:val="28"/>
        </w:rPr>
        <w:t>Додаткове обмеження виникає через неоднорідність самої цільової змінної. Значення IC50, отримані для однієї сполуки в різних джерелах, можуть відрізнятися, а об’єднання таких вимірювань збільшує шум у навчальних даних [12]. Біологічний контекст assay — клітинна система, спосіб активації, режим експозиції та інші умови протоколу — впливає на зміст вимірюваної активності й має враховуватися під час інтерпретації моделей [13]. Для TRPA1 ця проблема особливо правдоподібна через Ca2+-залежну регуляцію, агоніст-залежну десенситизацію та чутливість скринінгової відповіді до послідовності й тривалості дії речовин [16–18].</w:t>
      </w:r>
    </w:p>
    <w:p>
      <w:pPr>
        <w:spacing w:line="360" w:lineRule="auto" w:before="0" w:after="0"/>
        <w:ind w:firstLine="709"/>
        <w:jc w:val="both"/>
      </w:pPr>
      <w:r>
        <w:rPr>
          <w:rFonts w:ascii="Times New Roman" w:hAnsi="Times New Roman"/>
          <w:sz w:val="28"/>
        </w:rPr>
        <w:t>Тому після попередніх QSAR- і машинно-навчальних досліджень TRPA1 [3, 4] актуальним залишалося питання, наскільки їхні висновки переносяться на суворішу задачу кількісного прогнозування активності для нових хімічних каркасів. У цій роботі таку оцінку доповнено аналізом зв’язку похибки з розбіжністю опублікованих значень, хімічною віддаленістю сполук і способом поділу даних.</w:t>
      </w:r>
    </w:p>
    <w:p>
      <w:pPr>
        <w:spacing w:line="360" w:lineRule="auto" w:before="0" w:after="0"/>
        <w:ind w:firstLine="709"/>
        <w:jc w:val="both"/>
      </w:pPr>
      <w:r>
        <w:rPr>
          <w:rFonts w:ascii="Times New Roman" w:hAnsi="Times New Roman"/>
          <w:sz w:val="28"/>
        </w:rPr>
        <w:t>Метою роботи було оцінити точність прогнозування агрегованих за літературними даними значень pIC50 інгібування TRPA1 людини за молекулярною структурою для хімічних каркасів, не представлених під час навчання, та перевірити, чи пов’язана похибка прогнозу з розбіжністю опублікованих значень для тієї самої сполуки.</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Вступ до рукопису про прогнозування інгібування TRPA1</dc:title>
  <dc:subject>TRPA1 ML benchmark manuscript introduction</dc:subject>
  <dc:creator>python-docx</dc:creator>
  <cp:keywords>TRPA1, pIC50, molecular machine learning, scaffold validation</cp:keywords>
  <dc:description>generated by python-docx</dc:description>
  <cp:lastModifiedBy/>
  <cp:revision>1</cp:revision>
  <dcterms:created xsi:type="dcterms:W3CDTF">2013-12-23T23:15:00Z</dcterms:created>
  <dcterms:modified xsi:type="dcterms:W3CDTF">2013-12-23T23:15:00Z</dcterms:modified>
  <cp:category/>
</cp:coreProperties>
</file>