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F3DC4"/>
          <w:sz w:val="96"/>
        </w:rPr>
        <w:t>MOVILIDAD AUTÓNOMA</w:t>
      </w:r>
    </w:p>
    <w:p>
      <w:pPr>
        <w:jc w:val="center"/>
      </w:pPr>
      <w:r>
        <w:rPr>
          <w:color w:val="5F3DC4"/>
          <w:sz w:val="48"/>
        </w:rPr>
        <w:t>Estrategia Cabify ante el Futuro de las Ciudades</w:t>
      </w:r>
    </w:p>
    <w:p>
      <w:pPr>
        <w:jc w:val="center"/>
      </w:pPr>
      <w:r>
        <w:rPr>
          <w:i/>
          <w:sz w:val="28"/>
        </w:rPr>
        <w:t>Ecosistema, Partnerships y Modelos de Negocio Sostenibles</w:t>
      </w:r>
    </w:p>
    <w:p>
      <w:pPr>
        <w:jc w:val="center"/>
      </w:pPr>
      <w:r>
        <w:rPr>
          <w:sz w:val="24"/>
        </w:rPr>
        <w:br/>
        <w:t>Febrero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pStyle w:val="Heading2"/>
      </w:pPr>
      <w:r>
        <w:t>OPORTUNIDAD</w:t>
      </w:r>
    </w:p>
    <w:p>
      <w:r>
        <w:t>Madrid recibe robotaxis en 2026. Waymo opera en +15 ciudades. Uber adopta estrategia multi-proveedor AV. Cabify debe actuar antes de que competidores capturen mercado.</w:t>
      </w:r>
    </w:p>
    <w:p>
      <w:pPr>
        <w:pStyle w:val="Heading2"/>
      </w:pPr>
      <w:r>
        <w:t>SOLUCIÓN</w:t>
      </w:r>
    </w:p>
    <w:p>
      <w:r>
        <w:t>Plan estratégico 2026-2030 de integración de vehículos autónomos mediante partnerships tecnológicos, pilotos urbanos y modelo de negocio híbrido (flota propia + colaboradores autónomos).</w:t>
      </w:r>
    </w:p>
    <w:p>
      <w:pPr>
        <w:pStyle w:val="Heading2"/>
      </w:pPr>
      <w:r>
        <w:t>INVERSIÓN &amp; ROI</w:t>
      </w:r>
    </w:p>
    <w:p>
      <w:r>
        <w:t>• Inversión: €55M (2026-2028)</w:t>
        <w:br/>
        <w:t>• Incremento +30% viajes</w:t>
        <w:br/>
        <w:t>• Reducción -40% coste/km</w:t>
        <w:br/>
        <w:t>• Payback: 24-30 meses</w:t>
        <w:br/>
        <w:t>• TIR: &gt;30%</w:t>
      </w:r>
    </w:p>
    <w:p>
      <w:pPr>
        <w:pStyle w:val="Heading2"/>
      </w:pPr>
      <w:r>
        <w:t>RECOMENDACIÓN</w:t>
      </w:r>
    </w:p>
    <w:p>
      <w:r>
        <w:t>Aprobar piloto Madrid Q3 2026 (50 vehículos autónomos) mediante alianza con Waymo. Expansión Barcelona y Sevilla 2027.</w:t>
      </w:r>
    </w:p>
    <w:p>
      <w:r>
        <w:br w:type="page"/>
      </w:r>
    </w:p>
    <w:p>
      <w:pPr>
        <w:pStyle w:val="Heading1"/>
      </w:pPr>
      <w:r>
        <w:t>CONTEXTO: ECOSISTEMA 2026</w:t>
      </w:r>
    </w:p>
    <w:p>
      <w:pPr>
        <w:pStyle w:val="Heading2"/>
      </w:pPr>
      <w:r>
        <w:t>Tendencias del Mercado</w:t>
      </w:r>
    </w:p>
    <w:p>
      <w:r>
        <w:t>✓ Madrid estrena taxis sin conductor Uber-Waymo en 2026</w:t>
        <w:br/>
        <w:t>✓ Waymo opera en +15 ciudades globalmente</w:t>
        <w:br/>
        <w:t>✓ Uber adopta estrategia agregación multi-proveedor (Waymo, WeRide, Pony.ai)</w:t>
        <w:br/>
        <w:t>✓ UK autorizará vehículos 100% autónomos en Londres H2 2026</w:t>
      </w:r>
    </w:p>
    <w:p>
      <w:pPr>
        <w:pStyle w:val="Heading2"/>
      </w:pPr>
      <w:r>
        <w:t>Posición Actual Cabify</w:t>
      </w:r>
    </w:p>
    <w:p>
      <w:r>
        <w:t>✓ Estrategia de Negocio Sostenible consolidada: electrificación 100% España</w:t>
        <w:br/>
        <w:t>✓ Alianzas con fabricantes (Tesla) para flotas eléctricas</w:t>
        <w:br/>
        <w:t>✗ GAP: Sin plan público de integración AV mientras competidores ejecutan</w:t>
      </w:r>
    </w:p>
    <w:p>
      <w:pPr>
        <w:pStyle w:val="Heading2"/>
      </w:pPr>
      <w:r>
        <w:t>Objetivos</w:t>
      </w:r>
    </w:p>
    <w:p>
      <w:r>
        <w:t>1. Capturar cuota en movilidad autónoma antes de 2028</w:t>
        <w:br/>
        <w:t>2. Mantener liderazgo sostenibilidad (0 emisiones)</w:t>
        <w:br/>
        <w:t>3. Reducir dependencia conductores en mercados maduros</w:t>
        <w:br/>
        <w:t>4. Generar nuevas líneas ingresos (B2B, logística)</w:t>
      </w:r>
    </w:p>
    <w:p>
      <w:r>
        <w:br w:type="page"/>
      </w:r>
    </w:p>
    <w:p>
      <w:pPr>
        <w:pStyle w:val="Heading1"/>
      </w:pPr>
      <w:r>
        <w:t>EVOLUCIÓN: TRES HORIZONTES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Horizonte</w:t>
            </w:r>
          </w:p>
        </w:tc>
        <w:tc>
          <w:tcPr>
            <w:tcW w:type="dxa" w:w="2340"/>
          </w:tcPr>
          <w:p>
            <w:r>
              <w:t>Plazo</w:t>
            </w:r>
          </w:p>
        </w:tc>
        <w:tc>
          <w:tcPr>
            <w:tcW w:type="dxa" w:w="2340"/>
          </w:tcPr>
          <w:p>
            <w:r>
              <w:t>Características</w:t>
            </w:r>
          </w:p>
        </w:tc>
        <w:tc>
          <w:tcPr>
            <w:tcW w:type="dxa" w:w="2340"/>
          </w:tcPr>
          <w:p>
            <w:r>
              <w:t>Hitos</w:t>
            </w:r>
          </w:p>
        </w:tc>
      </w:tr>
      <w:tr>
        <w:tc>
          <w:tcPr>
            <w:tcW w:type="dxa" w:w="2340"/>
          </w:tcPr>
          <w:p>
            <w:r>
              <w:t>PILOTOS</w:t>
            </w:r>
          </w:p>
        </w:tc>
        <w:tc>
          <w:tcPr>
            <w:tcW w:type="dxa" w:w="2340"/>
          </w:tcPr>
          <w:p>
            <w:r>
              <w:t>2026-2027</w:t>
            </w:r>
          </w:p>
        </w:tc>
        <w:tc>
          <w:tcPr>
            <w:tcW w:type="dxa" w:w="2340"/>
          </w:tcPr>
          <w:p>
            <w:r>
              <w:t>Zonas acotadas, supervisión remota, alianzas tech</w:t>
            </w:r>
          </w:p>
        </w:tc>
        <w:tc>
          <w:tcPr>
            <w:tcW w:type="dxa" w:w="2340"/>
          </w:tcPr>
          <w:p>
            <w:r>
              <w:t>Madrid 50 AV, Barcelona piloto</w:t>
            </w:r>
          </w:p>
        </w:tc>
      </w:tr>
      <w:tr>
        <w:tc>
          <w:tcPr>
            <w:tcW w:type="dxa" w:w="2340"/>
          </w:tcPr>
          <w:p>
            <w:r>
              <w:t>ESCALADO</w:t>
            </w:r>
          </w:p>
        </w:tc>
        <w:tc>
          <w:tcPr>
            <w:tcW w:type="dxa" w:w="2340"/>
          </w:tcPr>
          <w:p>
            <w:r>
              <w:t>2028-2029</w:t>
            </w:r>
          </w:p>
        </w:tc>
        <w:tc>
          <w:tcPr>
            <w:tcW w:type="dxa" w:w="2340"/>
          </w:tcPr>
          <w:p>
            <w:r>
              <w:t>5-10 ciudades, 50% humanos/AV, regulación UE</w:t>
            </w:r>
          </w:p>
        </w:tc>
        <w:tc>
          <w:tcPr>
            <w:tcW w:type="dxa" w:w="2340"/>
          </w:tcPr>
          <w:p>
            <w:r>
              <w:t>500 AV España, LatAm inicio</w:t>
            </w:r>
          </w:p>
        </w:tc>
      </w:tr>
      <w:tr>
        <w:tc>
          <w:tcPr>
            <w:tcW w:type="dxa" w:w="2340"/>
          </w:tcPr>
          <w:p>
            <w:r>
              <w:t>DOMINIO</w:t>
            </w:r>
          </w:p>
        </w:tc>
        <w:tc>
          <w:tcPr>
            <w:tcW w:type="dxa" w:w="2340"/>
          </w:tcPr>
          <w:p>
            <w:r>
              <w:t>2030+</w:t>
            </w:r>
          </w:p>
        </w:tc>
        <w:tc>
          <w:tcPr>
            <w:tcW w:type="dxa" w:w="2340"/>
          </w:tcPr>
          <w:p>
            <w:r>
              <w:t>Mayoría viajes AV, 100% eléctrico, B2B/logística</w:t>
            </w:r>
          </w:p>
        </w:tc>
        <w:tc>
          <w:tcPr>
            <w:tcW w:type="dxa" w:w="2340"/>
          </w:tcPr>
          <w:p>
            <w:r>
              <w:t>Líder movilidad autónoma</w:t>
            </w:r>
          </w:p>
        </w:tc>
      </w:tr>
    </w:tbl>
    <w:p>
      <w:r>
        <w:br w:type="page"/>
      </w:r>
    </w:p>
    <w:p>
      <w:pPr>
        <w:pStyle w:val="Heading1"/>
      </w:pPr>
      <w:r>
        <w:t>PARTNERSHIPS ESTRATÉGICOS</w:t>
      </w:r>
    </w:p>
    <w:p>
      <w:pPr>
        <w:pStyle w:val="Heading2"/>
      </w:pPr>
      <w:r>
        <w:t>MODELO RECOMENDADO: HÍBRIDO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Partner</w:t>
            </w:r>
          </w:p>
        </w:tc>
        <w:tc>
          <w:tcPr>
            <w:tcW w:type="dxa" w:w="2340"/>
          </w:tcPr>
          <w:p>
            <w:r>
              <w:t>Rol</w:t>
            </w:r>
          </w:p>
        </w:tc>
        <w:tc>
          <w:tcPr>
            <w:tcW w:type="dxa" w:w="2340"/>
          </w:tcPr>
          <w:p>
            <w:r>
              <w:t>Geografía</w:t>
            </w:r>
          </w:p>
        </w:tc>
        <w:tc>
          <w:tcPr>
            <w:tcW w:type="dxa" w:w="2340"/>
          </w:tcPr>
          <w:p>
            <w:r>
              <w:t>Timing</w:t>
            </w:r>
          </w:p>
        </w:tc>
      </w:tr>
      <w:tr>
        <w:tc>
          <w:tcPr>
            <w:tcW w:type="dxa" w:w="2340"/>
          </w:tcPr>
          <w:p>
            <w:r>
              <w:t>Waymo</w:t>
            </w:r>
          </w:p>
        </w:tc>
        <w:tc>
          <w:tcPr>
            <w:tcW w:type="dxa" w:w="2340"/>
          </w:tcPr>
          <w:p>
            <w:r>
              <w:t>Proveedor AV principal (pilotos)</w:t>
            </w:r>
          </w:p>
        </w:tc>
        <w:tc>
          <w:tcPr>
            <w:tcW w:type="dxa" w:w="2340"/>
          </w:tcPr>
          <w:p>
            <w:r>
              <w:t>España</w:t>
            </w:r>
          </w:p>
        </w:tc>
        <w:tc>
          <w:tcPr>
            <w:tcW w:type="dxa" w:w="2340"/>
          </w:tcPr>
          <w:p>
            <w:r>
              <w:t>2026-2027</w:t>
            </w:r>
          </w:p>
        </w:tc>
      </w:tr>
      <w:tr>
        <w:tc>
          <w:tcPr>
            <w:tcW w:type="dxa" w:w="2340"/>
          </w:tcPr>
          <w:p>
            <w:r>
              <w:t>WeRide</w:t>
            </w:r>
          </w:p>
        </w:tc>
        <w:tc>
          <w:tcPr>
            <w:tcW w:type="dxa" w:w="2340"/>
          </w:tcPr>
          <w:p>
            <w:r>
              <w:t>Expansión LatAm</w:t>
            </w:r>
          </w:p>
        </w:tc>
        <w:tc>
          <w:tcPr>
            <w:tcW w:type="dxa" w:w="2340"/>
          </w:tcPr>
          <w:p>
            <w:r>
              <w:t>LATAM</w:t>
            </w:r>
          </w:p>
        </w:tc>
        <w:tc>
          <w:tcPr>
            <w:tcW w:type="dxa" w:w="2340"/>
          </w:tcPr>
          <w:p>
            <w:r>
              <w:t>2027-2028</w:t>
            </w:r>
          </w:p>
        </w:tc>
      </w:tr>
      <w:tr>
        <w:tc>
          <w:tcPr>
            <w:tcW w:type="dxa" w:w="2340"/>
          </w:tcPr>
          <w:p>
            <w:r>
              <w:t>Navya</w:t>
            </w:r>
          </w:p>
        </w:tc>
        <w:tc>
          <w:tcPr>
            <w:tcW w:type="dxa" w:w="2340"/>
          </w:tcPr>
          <w:p>
            <w:r>
              <w:t>Shuttles eventos/corporate</w:t>
            </w:r>
          </w:p>
        </w:tc>
        <w:tc>
          <w:tcPr>
            <w:tcW w:type="dxa" w:w="2340"/>
          </w:tcPr>
          <w:p>
            <w:r>
              <w:t>Europa</w:t>
            </w:r>
          </w:p>
        </w:tc>
        <w:tc>
          <w:tcPr>
            <w:tcW w:type="dxa" w:w="2340"/>
          </w:tcPr>
          <w:p>
            <w:r>
              <w:t>2026-2028</w:t>
            </w:r>
          </w:p>
        </w:tc>
      </w:tr>
      <w:tr>
        <w:tc>
          <w:tcPr>
            <w:tcW w:type="dxa" w:w="2340"/>
          </w:tcPr>
          <w:p>
            <w:r>
              <w:t>Nvidia/Mobileye</w:t>
            </w:r>
          </w:p>
        </w:tc>
        <w:tc>
          <w:tcPr>
            <w:tcW w:type="dxa" w:w="2340"/>
          </w:tcPr>
          <w:p>
            <w:r>
              <w:t>Stack tech flota propia</w:t>
            </w:r>
          </w:p>
        </w:tc>
        <w:tc>
          <w:tcPr>
            <w:tcW w:type="dxa" w:w="2340"/>
          </w:tcPr>
          <w:p>
            <w:r>
              <w:t>Global</w:t>
            </w:r>
          </w:p>
        </w:tc>
        <w:tc>
          <w:tcPr>
            <w:tcW w:type="dxa" w:w="2340"/>
          </w:tcPr>
          <w:p>
            <w:r>
              <w:t>2028+</w:t>
            </w:r>
          </w:p>
        </w:tc>
      </w:tr>
      <w:tr>
        <w:tc>
          <w:tcPr>
            <w:tcW w:type="dxa" w:w="2340"/>
          </w:tcPr>
          <w:p>
            <w:r>
              <w:t>Ayuntamientos</w:t>
            </w:r>
          </w:p>
        </w:tc>
        <w:tc>
          <w:tcPr>
            <w:tcW w:type="dxa" w:w="2340"/>
          </w:tcPr>
          <w:p>
            <w:r>
              <w:t>Regulación sandbox</w:t>
            </w:r>
          </w:p>
        </w:tc>
        <w:tc>
          <w:tcPr>
            <w:tcW w:type="dxa" w:w="2340"/>
          </w:tcPr>
          <w:p>
            <w:r>
              <w:t>Madrid, BCN</w:t>
            </w:r>
          </w:p>
        </w:tc>
        <w:tc>
          <w:tcPr>
            <w:tcW w:type="dxa" w:w="2340"/>
          </w:tcPr>
          <w:p>
            <w:r>
              <w:t>2026-2027</w:t>
            </w:r>
          </w:p>
        </w:tc>
      </w:tr>
    </w:tbl>
    <w:p>
      <w:r>
        <w:br w:type="page"/>
      </w:r>
    </w:p>
    <w:p>
      <w:pPr>
        <w:pStyle w:val="Heading1"/>
      </w:pPr>
      <w:r>
        <w:t>NUEVOS MODELOS DE NEGOCIO</w:t>
      </w:r>
    </w:p>
    <w:p>
      <w:pPr>
        <w:pStyle w:val="Heading2"/>
      </w:pPr>
      <w:r>
        <w:t>B2C – Usuarios Retail</w:t>
      </w:r>
    </w:p>
    <w:p>
      <w:r>
        <w:t>• Precio premium +10-15% por seguridad y confort</w:t>
        <w:br/>
        <w:t>• Suscripciones mensuales "Cabify Autonomous Pass"</w:t>
        <w:br/>
        <w:t>• Pricing dinámico en horas pico</w:t>
      </w:r>
    </w:p>
    <w:p>
      <w:pPr>
        <w:pStyle w:val="Heading2"/>
      </w:pPr>
      <w:r>
        <w:t>B2B – Corporate Mobility</w:t>
      </w:r>
    </w:p>
    <w:p>
      <w:r>
        <w:t>• Flotas corporativas 100% autónomas</w:t>
        <w:br/>
        <w:t>• Contratos recurrentes 3-5 años</w:t>
        <w:br/>
        <w:t>• Margen 30-40% vs. 18-25% B2C</w:t>
      </w:r>
    </w:p>
    <w:p>
      <w:pPr>
        <w:pStyle w:val="Heading2"/>
      </w:pPr>
      <w:r>
        <w:t>B2G – Gobierno y Transporte Público</w:t>
      </w:r>
    </w:p>
    <w:p>
      <w:r>
        <w:t>• Servicios primera/última milla</w:t>
        <w:br/>
        <w:t>• Contratos públicos</w:t>
        <w:br/>
        <w:t>• Transporte adaptado movilidad reducida</w:t>
      </w:r>
    </w:p>
    <w:p>
      <w:pPr>
        <w:pStyle w:val="Heading2"/>
      </w:pPr>
      <w:r>
        <w:t>Logística de Última Milla</w:t>
      </w:r>
    </w:p>
    <w:p>
      <w:r>
        <w:t>• Delivery autónomo paquetería y retail</w:t>
        <w:br/>
        <w:t>• Crecimiento +14% YoY</w:t>
      </w:r>
    </w:p>
    <w:p>
      <w:r>
        <w:br w:type="page"/>
      </w:r>
    </w:p>
    <w:p>
      <w:pPr>
        <w:pStyle w:val="Heading1"/>
      </w:pPr>
      <w:r>
        <w:t>EFICIENCIA OPERATIVA</w:t>
      </w:r>
    </w:p>
    <w:p>
      <w:pPr>
        <w:pStyle w:val="Heading2"/>
      </w:pPr>
      <w:r>
        <w:t>Ahorro Operativo</w:t>
      </w:r>
    </w:p>
    <w:p>
      <w:r>
        <w:t>• -40% COSTE/KM: Eliminación coste conductor</w:t>
        <w:br/>
        <w:t>• +150% UTILIZACIÓN: Vehículos operan 20h/día vs 8h humanos</w:t>
        <w:br/>
        <w:t>• -30% MANTENIMIENTO: IA predictiva reduce averías</w:t>
      </w:r>
    </w:p>
    <w:p>
      <w:pPr>
        <w:pStyle w:val="Heading2"/>
      </w:pPr>
      <w:r>
        <w:t>Sostenibilidad Ambiental</w:t>
      </w:r>
    </w:p>
    <w:p>
      <w:r>
        <w:t>• 100% vehículos eléctricos</w:t>
        <w:br/>
        <w:t>• Reducción 30% emisiones CO₂ urbanas</w:t>
        <w:br/>
        <w:t>• Certificaciones ESG (GRI, TCFD)</w:t>
      </w:r>
    </w:p>
    <w:p>
      <w:pPr>
        <w:pStyle w:val="Heading2"/>
      </w:pPr>
      <w:r>
        <w:t>Inversión Necesaria</w:t>
      </w:r>
    </w:p>
    <w:p>
      <w:r>
        <w:t>• CapEx inicial: €15-25M (primeros 50-100 vehículos)</w:t>
        <w:br/>
        <w:t>• OpEx anual: €8-12M (supervisión, mantenimiento, seguros, tech)</w:t>
        <w:br/>
        <w:t>• Payback estimado: 24-30 meses en mercados densos</w:t>
      </w:r>
    </w:p>
    <w:p>
      <w:r>
        <w:br w:type="page"/>
      </w:r>
    </w:p>
    <w:p>
      <w:pPr>
        <w:pStyle w:val="Heading1"/>
      </w:pPr>
      <w:r>
        <w:t>ROADMAP 2026-2028</w:t>
      </w:r>
    </w:p>
    <w:p>
      <w:pPr>
        <w:pStyle w:val="Heading2"/>
      </w:pPr>
      <w:r>
        <w:t>Q2 2026</w:t>
      </w:r>
    </w:p>
    <w:p>
      <w:r>
        <w:t>• Firma partnership Waymo o WeRide</w:t>
        <w:br/>
        <w:t>• Definición regulatoria Ayuntamiento Madrid</w:t>
      </w:r>
    </w:p>
    <w:p>
      <w:pPr>
        <w:pStyle w:val="Heading2"/>
      </w:pPr>
      <w:r>
        <w:t>Q3 2026</w:t>
      </w:r>
    </w:p>
    <w:p>
      <w:r>
        <w:t>• LAUNCH piloto Madrid: 25 vehículos AV</w:t>
        <w:br/>
        <w:t>• App Cabify actualizada</w:t>
        <w:br/>
        <w:t>• Campaña comunicación</w:t>
      </w:r>
    </w:p>
    <w:p>
      <w:pPr>
        <w:pStyle w:val="Heading2"/>
      </w:pPr>
      <w:r>
        <w:t>Q4 2026</w:t>
      </w:r>
    </w:p>
    <w:p>
      <w:r>
        <w:t>• Escalado 50 vehículos Madrid</w:t>
        <w:br/>
        <w:t>• Piloto Barcelona 25 vehículos</w:t>
      </w:r>
    </w:p>
    <w:p>
      <w:pPr>
        <w:pStyle w:val="Heading2"/>
      </w:pPr>
      <w:r>
        <w:t>H1 2027</w:t>
      </w:r>
    </w:p>
    <w:p>
      <w:r>
        <w:t>• Evaluación KPIs</w:t>
        <w:br/>
        <w:t>• Decisión go/no-go expansión</w:t>
      </w:r>
    </w:p>
    <w:p>
      <w:pPr>
        <w:pStyle w:val="Heading2"/>
      </w:pPr>
      <w:r>
        <w:t>H2 2027</w:t>
      </w:r>
    </w:p>
    <w:p>
      <w:r>
        <w:t>• Expansión geografía (Sevilla, Valencia)</w:t>
        <w:br/>
        <w:t>• Launch B2B corporate (10 clientes)</w:t>
      </w:r>
    </w:p>
    <w:p>
      <w:pPr>
        <w:pStyle w:val="Heading2"/>
      </w:pPr>
      <w:r>
        <w:t>2028</w:t>
      </w:r>
    </w:p>
    <w:p>
      <w:r>
        <w:t>• 500 vehículos autónomos España</w:t>
        <w:br/>
        <w:t>• Launch LatAm (Santiago, Bogotá)</w:t>
        <w:br/>
        <w:t>• Logística última milla</w:t>
      </w:r>
    </w:p>
    <w:p>
      <w:r>
        <w:br w:type="page"/>
      </w:r>
    </w:p>
    <w:p>
      <w:pPr>
        <w:pStyle w:val="Heading1"/>
      </w:pPr>
      <w:r>
        <w:t>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Riesgo</w:t>
            </w:r>
          </w:p>
        </w:tc>
        <w:tc>
          <w:tcPr>
            <w:tcW w:type="dxa" w:w="2340"/>
          </w:tcPr>
          <w:p>
            <w:r>
              <w:t>Impacto</w:t>
            </w:r>
          </w:p>
        </w:tc>
        <w:tc>
          <w:tcPr>
            <w:tcW w:type="dxa" w:w="2340"/>
          </w:tcPr>
          <w:p>
            <w:r>
              <w:t>Prob.</w:t>
            </w:r>
          </w:p>
        </w:tc>
        <w:tc>
          <w:tcPr>
            <w:tcW w:type="dxa" w:w="2340"/>
          </w:tcPr>
          <w:p>
            <w:r>
              <w:t>Mitigación</w:t>
            </w:r>
          </w:p>
        </w:tc>
      </w:tr>
      <w:tr>
        <w:tc>
          <w:tcPr>
            <w:tcW w:type="dxa" w:w="2340"/>
          </w:tcPr>
          <w:p>
            <w:r>
              <w:t>Regulatorio: Retraso aprobación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  <w:tc>
          <w:tcPr>
            <w:tcW w:type="dxa" w:w="2340"/>
          </w:tcPr>
          <w:p>
            <w:r>
              <w:t>Lobby ayuntamientos, pilotos zonas privadas</w:t>
            </w:r>
          </w:p>
        </w:tc>
      </w:tr>
      <w:tr>
        <w:tc>
          <w:tcPr>
            <w:tcW w:type="dxa" w:w="2340"/>
          </w:tcPr>
          <w:p>
            <w:r>
              <w:t>Tecnológico: Fallos sistema</w:t>
            </w:r>
          </w:p>
        </w:tc>
        <w:tc>
          <w:tcPr>
            <w:tcW w:type="dxa" w:w="2340"/>
          </w:tcPr>
          <w:p>
            <w:r>
              <w:t>Muy Alto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  <w:tc>
          <w:tcPr>
            <w:tcW w:type="dxa" w:w="2340"/>
          </w:tcPr>
          <w:p>
            <w:r>
              <w:t>Supervisión 24/7, seguros, proveedor maduro</w:t>
            </w:r>
          </w:p>
        </w:tc>
      </w:tr>
      <w:tr>
        <w:tc>
          <w:tcPr>
            <w:tcW w:type="dxa" w:w="2340"/>
          </w:tcPr>
          <w:p>
            <w:r>
              <w:t>Aceptación usuario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  <w:tc>
          <w:tcPr>
            <w:tcW w:type="dxa" w:w="2340"/>
          </w:tcPr>
          <w:p>
            <w:r>
              <w:t>Campaña educación, descuentos 20%</w:t>
            </w:r>
          </w:p>
        </w:tc>
      </w:tr>
      <w:tr>
        <w:tc>
          <w:tcPr>
            <w:tcW w:type="dxa" w:w="2340"/>
          </w:tcPr>
          <w:p>
            <w:r>
              <w:t>Competencia: Uber primero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  <w:tc>
          <w:tcPr>
            <w:tcW w:type="dxa" w:w="2340"/>
          </w:tcPr>
          <w:p>
            <w:r>
              <w:t>Acelerar timeline, diferenciación premium</w:t>
            </w:r>
          </w:p>
        </w:tc>
      </w:tr>
      <w:tr>
        <w:tc>
          <w:tcPr>
            <w:tcW w:type="dxa" w:w="2340"/>
          </w:tcPr>
          <w:p>
            <w:r>
              <w:t>Sindical: Oposición conductores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  <w:tc>
          <w:tcPr>
            <w:tcW w:type="dxa" w:w="2340"/>
          </w:tcPr>
          <w:p>
            <w:r>
              <w:t>Plan transición laboral, reskilling</w:t>
            </w:r>
          </w:p>
        </w:tc>
      </w:tr>
      <w:tr>
        <w:tc>
          <w:tcPr>
            <w:tcW w:type="dxa" w:w="2340"/>
          </w:tcPr>
          <w:p>
            <w:r>
              <w:t>Económico: ROI no logrado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  <w:tc>
          <w:tcPr>
            <w:tcW w:type="dxa" w:w="2340"/>
          </w:tcPr>
          <w:p>
            <w:r>
              <w:t>Piloto acotado, revisión trimestral</w:t>
            </w:r>
          </w:p>
        </w:tc>
      </w:tr>
    </w:tbl>
    <w:p>
      <w:r>
        <w:br w:type="page"/>
      </w:r>
    </w:p>
    <w:p>
      <w:pPr>
        <w:pStyle w:val="Heading1"/>
      </w:pPr>
      <w:r>
        <w:t>BUSINESS CASE FINANCIERO</w:t>
      </w:r>
    </w:p>
    <w:p>
      <w:pPr>
        <w:pStyle w:val="Heading2"/>
      </w:pPr>
      <w:r>
        <w:t>Inversión Total 2026-2028: €55M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Concepto</w:t>
            </w:r>
          </w:p>
        </w:tc>
        <w:tc>
          <w:tcPr>
            <w:tcW w:type="dxa" w:w="2340"/>
          </w:tcPr>
          <w:p>
            <w:r>
              <w:t>2026</w:t>
            </w:r>
          </w:p>
        </w:tc>
        <w:tc>
          <w:tcPr>
            <w:tcW w:type="dxa" w:w="2340"/>
          </w:tcPr>
          <w:p>
            <w:r>
              <w:t>2027</w:t>
            </w:r>
          </w:p>
        </w:tc>
        <w:tc>
          <w:tcPr>
            <w:tcW w:type="dxa" w:w="2340"/>
          </w:tcPr>
          <w:p>
            <w:r>
              <w:t>2028</w:t>
            </w:r>
          </w:p>
        </w:tc>
      </w:tr>
      <w:tr>
        <w:tc>
          <w:tcPr>
            <w:tcW w:type="dxa" w:w="2340"/>
          </w:tcPr>
          <w:p>
            <w:r>
              <w:t>CapEx flotas (compra/leasing)</w:t>
            </w:r>
          </w:p>
        </w:tc>
        <w:tc>
          <w:tcPr>
            <w:tcW w:type="dxa" w:w="2340"/>
          </w:tcPr>
          <w:p>
            <w:r>
              <w:t>€10M</w:t>
            </w:r>
          </w:p>
        </w:tc>
        <w:tc>
          <w:tcPr>
            <w:tcW w:type="dxa" w:w="2340"/>
          </w:tcPr>
          <w:p>
            <w:r>
              <w:t>€15M</w:t>
            </w:r>
          </w:p>
        </w:tc>
        <w:tc>
          <w:tcPr>
            <w:tcW w:type="dxa" w:w="2340"/>
          </w:tcPr>
          <w:p>
            <w:r>
              <w:t>€20M</w:t>
            </w:r>
          </w:p>
        </w:tc>
      </w:tr>
      <w:tr>
        <w:tc>
          <w:tcPr>
            <w:tcW w:type="dxa" w:w="2340"/>
          </w:tcPr>
          <w:p>
            <w:r>
              <w:t>OpEx (supervisión, tech)</w:t>
            </w:r>
          </w:p>
        </w:tc>
        <w:tc>
          <w:tcPr>
            <w:tcW w:type="dxa" w:w="2340"/>
          </w:tcPr>
          <w:p>
            <w:r>
              <w:t>€2M</w:t>
            </w:r>
          </w:p>
        </w:tc>
        <w:tc>
          <w:tcPr>
            <w:tcW w:type="dxa" w:w="2340"/>
          </w:tcPr>
          <w:p>
            <w:r>
              <w:t>€4M</w:t>
            </w:r>
          </w:p>
        </w:tc>
        <w:tc>
          <w:tcPr>
            <w:tcW w:type="dxa" w:w="2340"/>
          </w:tcPr>
          <w:p>
            <w:r>
              <w:t>€6M</w:t>
            </w:r>
          </w:p>
        </w:tc>
      </w:tr>
      <w:tr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€1M</w:t>
            </w:r>
          </w:p>
        </w:tc>
        <w:tc>
          <w:tcPr>
            <w:tcW w:type="dxa" w:w="2340"/>
          </w:tcPr>
          <w:p>
            <w:r>
              <w:t>€1M</w:t>
            </w:r>
          </w:p>
        </w:tc>
        <w:tc>
          <w:tcPr>
            <w:tcW w:type="dxa" w:w="2340"/>
          </w:tcPr>
          <w:p>
            <w:r>
              <w:t>€1M</w:t>
            </w:r>
          </w:p>
        </w:tc>
      </w:tr>
      <w:tr>
        <w:tc>
          <w:tcPr>
            <w:tcW w:type="dxa" w:w="2340"/>
          </w:tcPr>
          <w:p>
            <w:r>
              <w:t>TOTAL</w:t>
            </w:r>
          </w:p>
        </w:tc>
        <w:tc>
          <w:tcPr>
            <w:tcW w:type="dxa" w:w="2340"/>
          </w:tcPr>
          <w:p>
            <w:r>
              <w:t>€13M</w:t>
            </w:r>
          </w:p>
        </w:tc>
        <w:tc>
          <w:tcPr>
            <w:tcW w:type="dxa" w:w="2340"/>
          </w:tcPr>
          <w:p>
            <w:r>
              <w:t>€20M</w:t>
            </w:r>
          </w:p>
        </w:tc>
        <w:tc>
          <w:tcPr>
            <w:tcW w:type="dxa" w:w="2340"/>
          </w:tcPr>
          <w:p>
            <w:r>
              <w:t>€27M</w:t>
            </w:r>
          </w:p>
        </w:tc>
      </w:tr>
    </w:tbl>
    <w:p>
      <w:pPr>
        <w:pStyle w:val="Heading2"/>
      </w:pPr>
      <w:r>
        <w:t>Ingresos Incrementales Proyectados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Línea</w:t>
            </w:r>
          </w:p>
        </w:tc>
        <w:tc>
          <w:tcPr>
            <w:tcW w:type="dxa" w:w="2340"/>
          </w:tcPr>
          <w:p>
            <w:r>
              <w:t>2026</w:t>
            </w:r>
          </w:p>
        </w:tc>
        <w:tc>
          <w:tcPr>
            <w:tcW w:type="dxa" w:w="2340"/>
          </w:tcPr>
          <w:p>
            <w:r>
              <w:t>2027</w:t>
            </w:r>
          </w:p>
        </w:tc>
        <w:tc>
          <w:tcPr>
            <w:tcW w:type="dxa" w:w="2340"/>
          </w:tcPr>
          <w:p>
            <w:r>
              <w:t>2028</w:t>
            </w:r>
          </w:p>
        </w:tc>
      </w:tr>
      <w:tr>
        <w:tc>
          <w:tcPr>
            <w:tcW w:type="dxa" w:w="2340"/>
          </w:tcPr>
          <w:p>
            <w:r>
              <w:t>B2C (viajes autónomos)</w:t>
            </w:r>
          </w:p>
        </w:tc>
        <w:tc>
          <w:tcPr>
            <w:tcW w:type="dxa" w:w="2340"/>
          </w:tcPr>
          <w:p>
            <w:r>
              <w:t>€1M</w:t>
            </w:r>
          </w:p>
        </w:tc>
        <w:tc>
          <w:tcPr>
            <w:tcW w:type="dxa" w:w="2340"/>
          </w:tcPr>
          <w:p>
            <w:r>
              <w:t>€8M</w:t>
            </w:r>
          </w:p>
        </w:tc>
        <w:tc>
          <w:tcPr>
            <w:tcW w:type="dxa" w:w="2340"/>
          </w:tcPr>
          <w:p>
            <w:r>
              <w:t>€25M</w:t>
            </w:r>
          </w:p>
        </w:tc>
      </w:tr>
      <w:tr>
        <w:tc>
          <w:tcPr>
            <w:tcW w:type="dxa" w:w="2340"/>
          </w:tcPr>
          <w:p>
            <w:r>
              <w:t>B2B Corporate</w:t>
            </w:r>
          </w:p>
        </w:tc>
        <w:tc>
          <w:tcPr>
            <w:tcW w:type="dxa" w:w="2340"/>
          </w:tcPr>
          <w:p>
            <w:r>
              <w:t>€0.5M</w:t>
            </w:r>
          </w:p>
        </w:tc>
        <w:tc>
          <w:tcPr>
            <w:tcW w:type="dxa" w:w="2340"/>
          </w:tcPr>
          <w:p>
            <w:r>
              <w:t>€3M</w:t>
            </w:r>
          </w:p>
        </w:tc>
        <w:tc>
          <w:tcPr>
            <w:tcW w:type="dxa" w:w="2340"/>
          </w:tcPr>
          <w:p>
            <w:r>
              <w:t>€8M</w:t>
            </w:r>
          </w:p>
        </w:tc>
      </w:tr>
      <w:tr>
        <w:tc>
          <w:tcPr>
            <w:tcW w:type="dxa" w:w="2340"/>
          </w:tcPr>
          <w:p>
            <w:r>
              <w:t>Logística última milla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€0.5M</w:t>
            </w:r>
          </w:p>
        </w:tc>
        <w:tc>
          <w:tcPr>
            <w:tcW w:type="dxa" w:w="2340"/>
          </w:tcPr>
          <w:p>
            <w:r>
              <w:t>€3M</w:t>
            </w:r>
          </w:p>
        </w:tc>
      </w:tr>
      <w:tr>
        <w:tc>
          <w:tcPr>
            <w:tcW w:type="dxa" w:w="2340"/>
          </w:tcPr>
          <w:p>
            <w:r>
              <w:t>TOTAL</w:t>
            </w:r>
          </w:p>
        </w:tc>
        <w:tc>
          <w:tcPr>
            <w:tcW w:type="dxa" w:w="2340"/>
          </w:tcPr>
          <w:p>
            <w:r>
              <w:t>€1.5M</w:t>
            </w:r>
          </w:p>
        </w:tc>
        <w:tc>
          <w:tcPr>
            <w:tcW w:type="dxa" w:w="2340"/>
          </w:tcPr>
          <w:p>
            <w:r>
              <w:t>€11.5M</w:t>
            </w:r>
          </w:p>
        </w:tc>
        <w:tc>
          <w:tcPr>
            <w:tcW w:type="dxa" w:w="2340"/>
          </w:tcPr>
          <w:p>
            <w:r>
              <w:t>€36M</w:t>
            </w:r>
          </w:p>
        </w:tc>
      </w:tr>
    </w:tbl>
    <w:p>
      <w:r>
        <w:br/>
      </w:r>
    </w:p>
    <w:p>
      <w:pPr>
        <w:pStyle w:val="Heading2"/>
      </w:pPr>
      <w:r>
        <w:t>Resumen Financiero</w:t>
      </w:r>
    </w:p>
    <w:p>
      <w:r>
        <w:t>• Payback: Q2 2028</w:t>
        <w:br/>
        <w:t>• VAN (5 años, WACC 12%): €85M</w:t>
        <w:br/>
        <w:t>• TIR: 38%</w:t>
        <w:br/>
        <w:t>• EBITDA 2028: +€24M</w:t>
      </w:r>
    </w:p>
    <w:p>
      <w:r>
        <w:br w:type="page"/>
      </w:r>
    </w:p>
    <w:p>
      <w:pPr>
        <w:pStyle w:val="Heading1"/>
      </w:pPr>
      <w:r>
        <w:t>DECISIONES REQUERIDAS HOY</w:t>
      </w:r>
    </w:p>
    <w:p>
      <w:pPr>
        <w:pStyle w:val="Heading2"/>
      </w:pPr>
      <w:r>
        <w:t>Aprobaciones Necesarias</w:t>
      </w:r>
    </w:p>
    <w:p>
      <w:r>
        <w:t>✅ Aprobar inversión inicial €13M para piloto Madrid Q3 2026 (50 vehículos)</w:t>
        <w:br/>
        <w:t>✅ Autorizar partnership estratégico con Waymo o WeRide (firma Q2 2026)</w:t>
        <w:br/>
        <w:t>✅ Crear unidad de negocio "Cabify Autonomous" con equipo dedicado (15 personas)</w:t>
      </w:r>
    </w:p>
    <w:p>
      <w:pPr>
        <w:pStyle w:val="Heading2"/>
      </w:pPr>
      <w:r>
        <w:t>Próximos Pasos Inmediatos (Feb-Mar 2026)</w:t>
      </w:r>
    </w:p>
    <w:p>
      <w:r>
        <w:t>1. Presentación Comité Dirección para aprobación</w:t>
        <w:br/>
        <w:t>2. Inicio negociaciones con Waymo y WeRide</w:t>
        <w:br/>
        <w:t>3. Reuniones Ayuntamiento Madrid para sandbox regulatorio</w:t>
        <w:br/>
        <w:t>4. Definición roadmap producto y UX autónomo</w:t>
      </w:r>
    </w:p>
    <w:p>
      <w:pPr>
        <w:pStyle w:val="Heading2"/>
      </w:pPr>
      <w:r>
        <w:t>Por Qué Ahora</w:t>
      </w:r>
    </w:p>
    <w:p>
      <w:r>
        <w:t>• VENTANA DE OPORTUNIDAD: Competidores ya ejecutan; retraso implica pérdida cuota irrecuperable</w:t>
        <w:br/>
        <w:t>• MOMENTUM REGULATORIO: Madrid abierto a pilotos 2026</w:t>
        <w:br/>
        <w:t>• ALINEACIÓN ESTRATÉGICA: Continuidad con Estrategia Sostenibilidad Cabify</w:t>
        <w:br/>
        <w:t>• VIABILIDAD ECONÓMICA: Payback &lt;30 meses, VAN positivo, TIR &gt;30%</w:t>
      </w:r>
    </w:p>
    <w:p>
      <w:r>
        <w:br/>
      </w:r>
    </w:p>
    <w:p>
      <w:r>
        <w:t>_____________________________</w:t>
      </w:r>
    </w:p>
    <w:p>
      <w:pPr>
        <w:jc w:val="center"/>
      </w:pPr>
      <w:r>
        <w:rPr>
          <w:b/>
          <w:color w:val="5F3DC4"/>
          <w:sz w:val="36"/>
        </w:rPr>
        <w:br/>
        <w:br/>
        <w:t>"Si esperamos, otros definirán el futuro de la movilidad urbana.</w:t>
        <w:br/>
        <w:t>Cabify puede liderarlo desde hoy."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