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8AE6"/>
          <w:sz w:val="22"/>
          <w:szCs w:val="22"/>
        </w:rPr>
        <w:t xml:space="preserve">PRODUCT REQUIREMENTS DOCUMENT</w:t>
      </w:r>
    </w:p>
    <w:p>
      <w:pPr>
        <w:spacing w:after="200" w:before="200"/>
        <w:jc w:val="center"/>
      </w:pPr>
      <w:r>
        <w:rPr>
          <w:b/>
          <w:bCs/>
          <w:color w:val="1F2A44"/>
          <w:sz w:val="56"/>
          <w:szCs w:val="56"/>
        </w:rPr>
        <w:t xml:space="preserve">AGENT SOCIETY</w:t>
      </w:r>
    </w:p>
    <w:p>
      <w:pPr>
        <w:spacing w:after="600"/>
        <w:jc w:val="center"/>
      </w:pPr>
      <w:r>
        <w:rPr>
          <w:i/>
          <w:iCs/>
          <w:color w:val="6A7280"/>
          <w:sz w:val="24"/>
          <w:szCs w:val="24"/>
        </w:rPr>
        <w:t xml:space="preserve">A Multi-Agent AI Collaboration System Built on Qwen Cloud</w:t>
      </w:r>
    </w:p>
    <w:p>
      <w:pPr>
        <w:spacing w:after="60"/>
        <w:jc w:val="center"/>
      </w:pPr>
      <w:r>
        <w:rPr>
          <w:color w:val="6A7280"/>
          <w:sz w:val="20"/>
          <w:szCs w:val="20"/>
        </w:rPr>
        <w:t xml:space="preserve">Global AI Hackathon Series with Qwen Cloud — Track 3: Agent Society</w:t>
      </w:r>
    </w:p>
    <w:p>
      <w:pPr>
        <w:spacing w:after="60"/>
        <w:jc w:val="center"/>
      </w:pPr>
      <w:r>
        <w:rPr>
          <w:color w:val="6A7280"/>
          <w:sz w:val="20"/>
          <w:szCs w:val="20"/>
        </w:rPr>
        <w:t xml:space="preserve">Version 1.0</w:t>
      </w:r>
    </w:p>
    <w:p>
      <w:pPr>
        <w:jc w:val="center"/>
      </w:pPr>
      <w:r>
        <w:rPr>
          <w:color w:val="6A7280"/>
          <w:sz w:val="20"/>
          <w:szCs w:val="20"/>
        </w:rPr>
        <w:t xml:space="preserve">Prepared by: Sunday</w:t>
      </w:r>
    </w:p>
    <w:p>
      <w:r>
        <w:br w:type="page"/>
      </w:r>
    </w:p>
    <w:p>
      <w:pPr>
        <w:pStyle w:val="Heading1"/>
        <w:spacing w:after="180" w:before="360"/>
      </w:pPr>
      <w:r>
        <w:rPr>
          <w:b/>
          <w:bCs/>
          <w:color w:val="1F2A44"/>
          <w:sz w:val="30"/>
          <w:szCs w:val="30"/>
        </w:rPr>
        <w:t xml:space="preserve">1. Overview</w:t>
      </w:r>
    </w:p>
    <w:p>
      <w:pPr>
        <w:pStyle w:val="Heading2"/>
        <w:spacing w:after="140" w:before="260"/>
      </w:pPr>
      <w:r>
        <w:rPr>
          <w:b/>
          <w:bCs/>
          <w:color w:val="2E8AE6"/>
          <w:sz w:val="24"/>
          <w:szCs w:val="24"/>
        </w:rPr>
        <w:t xml:space="preserve">1.1 Purpose</w:t>
      </w:r>
    </w:p>
    <w:p>
      <w:pPr>
        <w:spacing w:after="140" w:line="300"/>
      </w:pPr>
      <w:r>
        <w:rPr>
          <w:color w:val="1a1a1a"/>
          <w:sz w:val="22"/>
          <w:szCs w:val="22"/>
        </w:rPr>
        <w:t xml:space="preserve">Agent Society is a multi-agent AI collaboration system in which five specialist agents — Planner, Researcher, Writer, Critic, and Executor — work together through task decomposition, dialogue, and negotiation to produce high-quality deliverables. The system demonstrates measurable efficiency and quality gains over a single-agent baseline, and is built entirely on the Qwen Cloud API.</w:t>
      </w:r>
    </w:p>
    <w:p>
      <w:pPr>
        <w:pStyle w:val="Heading2"/>
        <w:spacing w:after="140" w:before="260"/>
      </w:pPr>
      <w:r>
        <w:rPr>
          <w:b/>
          <w:bCs/>
          <w:color w:val="2E8AE6"/>
          <w:sz w:val="24"/>
          <w:szCs w:val="24"/>
        </w:rPr>
        <w:t xml:space="preserve">1.2 Problem Statement</w:t>
      </w:r>
    </w:p>
    <w:p>
      <w:pPr>
        <w:spacing w:after="140" w:line="300"/>
      </w:pPr>
      <w:r>
        <w:rPr>
          <w:color w:val="1a1a1a"/>
          <w:sz w:val="22"/>
          <w:szCs w:val="22"/>
        </w:rPr>
        <w:t xml:space="preserve">Most consumer and business AI tools rely on a single model generating a single response with no internal review process. This produces output that is often shallow, unverified, and inconsistent in quality. Complex tasks such as market analysis, risk assessment, or strategic planning benefit from the same division of labour that human teams use — specialists handling distinct stages, with a review step before delivery.</w:t>
      </w:r>
    </w:p>
    <w:p>
      <w:pPr>
        <w:pStyle w:val="Heading2"/>
        <w:spacing w:after="140" w:before="260"/>
      </w:pPr>
      <w:r>
        <w:rPr>
          <w:b/>
          <w:bCs/>
          <w:color w:val="2E8AE6"/>
          <w:sz w:val="24"/>
          <w:szCs w:val="24"/>
        </w:rPr>
        <w:t xml:space="preserve">1.3 Solution Summary</w:t>
      </w:r>
    </w:p>
    <w:p>
      <w:pPr>
        <w:spacing w:after="140" w:line="300"/>
      </w:pPr>
      <w:r>
        <w:rPr>
          <w:color w:val="1a1a1a"/>
          <w:sz w:val="22"/>
          <w:szCs w:val="22"/>
        </w:rPr>
        <w:t xml:space="preserve">Agent Society applies a structured, multi-agent workflow to any complex task submitted by a user. A Planner decomposes the task, a Researcher gathers relevant information, a Writer produces a draft, a Critic scores the draft against defined quality dimensions and returns it for revision if needed, and an Executor packages the final, approved output. All agent activity is coordinated through a shared memory layer and persisted to a database for auditability.</w:t>
      </w:r>
    </w:p>
    <w:p>
      <w:pPr>
        <w:pStyle w:val="Heading1"/>
        <w:spacing w:after="180" w:before="360"/>
      </w:pPr>
      <w:r>
        <w:rPr>
          <w:b/>
          <w:bCs/>
          <w:color w:val="1F2A44"/>
          <w:sz w:val="30"/>
          <w:szCs w:val="30"/>
        </w:rPr>
        <w:t xml:space="preserve">2. Goals &amp; Success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1F2A44" w:val="clear"/>
            <w:tcMar>
              <w:top w:type="dxa" w:w="100"/>
              <w:left w:type="dxa" w:w="120"/>
              <w:bottom w:type="dxa" w:w="100"/>
              <w:right w:type="dxa" w:w="120"/>
            </w:tcMar>
          </w:tcPr>
          <w:p>
            <w:r>
              <w:rPr>
                <w:b/>
                <w:bCs/>
                <w:color w:val="FFFFFF"/>
                <w:sz w:val="20"/>
                <w:szCs w:val="20"/>
              </w:rPr>
              <w:t xml:space="preserve">Goal</w:t>
            </w:r>
          </w:p>
        </w:tc>
        <w:tc>
          <w:tcPr>
            <w:tcW w:type="dxa" w:w="5850"/>
            <w:shd w:fill="1F2A44" w:val="clear"/>
            <w:tcMar>
              <w:top w:type="dxa" w:w="100"/>
              <w:left w:type="dxa" w:w="120"/>
              <w:bottom w:type="dxa" w:w="100"/>
              <w:right w:type="dxa" w:w="120"/>
            </w:tcMar>
          </w:tcPr>
          <w:p>
            <w:r>
              <w:rPr>
                <w:b/>
                <w:bCs/>
                <w:color w:val="FFFFFF"/>
                <w:sz w:val="20"/>
                <w:szCs w:val="20"/>
              </w:rPr>
              <w:t xml:space="preserve">Success Metric</w:t>
            </w:r>
          </w:p>
        </w:tc>
      </w:tr>
      <w:tr>
        <w:tc>
          <w:tcPr>
            <w:tcW w:type="dxa" w:w="3500"/>
            <w:tcMar>
              <w:top w:type="dxa" w:w="100"/>
              <w:left w:type="dxa" w:w="120"/>
              <w:bottom w:type="dxa" w:w="100"/>
              <w:right w:type="dxa" w:w="120"/>
            </w:tcMar>
          </w:tcPr>
          <w:p>
            <w:r>
              <w:rPr>
                <w:b w:val="false"/>
                <w:bCs w:val="false"/>
                <w:color w:val="1a1a1a"/>
                <w:sz w:val="20"/>
                <w:szCs w:val="20"/>
              </w:rPr>
              <w:t xml:space="preserve">Demonstrate genuine multi-agent collaboration</w:t>
            </w:r>
          </w:p>
        </w:tc>
        <w:tc>
          <w:tcPr>
            <w:tcW w:type="dxa" w:w="5850"/>
            <w:tcMar>
              <w:top w:type="dxa" w:w="100"/>
              <w:left w:type="dxa" w:w="120"/>
              <w:bottom w:type="dxa" w:w="100"/>
              <w:right w:type="dxa" w:w="120"/>
            </w:tcMar>
          </w:tcPr>
          <w:p>
            <w:r>
              <w:rPr>
                <w:b w:val="false"/>
                <w:bCs w:val="false"/>
                <w:color w:val="1a1a1a"/>
                <w:sz w:val="20"/>
                <w:szCs w:val="20"/>
              </w:rPr>
              <w:t xml:space="preserve">Visible task decomposition, role assignment, and inter-agent negotiation in every run</w:t>
            </w:r>
          </w:p>
        </w:tc>
      </w:tr>
      <w:tr>
        <w:tc>
          <w:tcPr>
            <w:tcW w:type="dxa" w:w="3500"/>
            <w:tcMar>
              <w:top w:type="dxa" w:w="100"/>
              <w:left w:type="dxa" w:w="120"/>
              <w:bottom w:type="dxa" w:w="100"/>
              <w:right w:type="dxa" w:w="120"/>
            </w:tcMar>
          </w:tcPr>
          <w:p>
            <w:r>
              <w:rPr>
                <w:b w:val="false"/>
                <w:bCs w:val="false"/>
                <w:color w:val="1a1a1a"/>
                <w:sz w:val="20"/>
                <w:szCs w:val="20"/>
              </w:rPr>
              <w:t xml:space="preserve">Prove measurable efficiency gain</w:t>
            </w:r>
          </w:p>
        </w:tc>
        <w:tc>
          <w:tcPr>
            <w:tcW w:type="dxa" w:w="5850"/>
            <w:tcMar>
              <w:top w:type="dxa" w:w="100"/>
              <w:left w:type="dxa" w:w="120"/>
              <w:bottom w:type="dxa" w:w="100"/>
              <w:right w:type="dxa" w:w="120"/>
            </w:tcMar>
          </w:tcPr>
          <w:p>
            <w:r>
              <w:rPr>
                <w:b w:val="false"/>
                <w:bCs w:val="false"/>
                <w:color w:val="1a1a1a"/>
                <w:sz w:val="20"/>
                <w:szCs w:val="20"/>
              </w:rPr>
              <w:t xml:space="preserve">Independent benchmark shows Agent Society output scoring higher than single-agent baseline on identical tasks</w:t>
            </w:r>
          </w:p>
        </w:tc>
      </w:tr>
      <w:tr>
        <w:tc>
          <w:tcPr>
            <w:tcW w:type="dxa" w:w="3500"/>
            <w:tcMar>
              <w:top w:type="dxa" w:w="100"/>
              <w:left w:type="dxa" w:w="120"/>
              <w:bottom w:type="dxa" w:w="100"/>
              <w:right w:type="dxa" w:w="120"/>
            </w:tcMar>
          </w:tcPr>
          <w:p>
            <w:r>
              <w:rPr>
                <w:b w:val="false"/>
                <w:bCs w:val="false"/>
                <w:color w:val="1a1a1a"/>
                <w:sz w:val="20"/>
                <w:szCs w:val="20"/>
              </w:rPr>
              <w:t xml:space="preserve">Deliver production-quality output</w:t>
            </w:r>
          </w:p>
        </w:tc>
        <w:tc>
          <w:tcPr>
            <w:tcW w:type="dxa" w:w="5850"/>
            <w:tcMar>
              <w:top w:type="dxa" w:w="100"/>
              <w:left w:type="dxa" w:w="120"/>
              <w:bottom w:type="dxa" w:w="100"/>
              <w:right w:type="dxa" w:w="120"/>
            </w:tcMar>
          </w:tcPr>
          <w:p>
            <w:r>
              <w:rPr>
                <w:b w:val="false"/>
                <w:bCs w:val="false"/>
                <w:color w:val="1a1a1a"/>
                <w:sz w:val="20"/>
                <w:szCs w:val="20"/>
              </w:rPr>
              <w:t xml:space="preserve">Critic approval threshold of 8/10 or higher enforced before delivery</w:t>
            </w:r>
          </w:p>
        </w:tc>
      </w:tr>
      <w:tr>
        <w:tc>
          <w:tcPr>
            <w:tcW w:type="dxa" w:w="3500"/>
            <w:tcMar>
              <w:top w:type="dxa" w:w="100"/>
              <w:left w:type="dxa" w:w="120"/>
              <w:bottom w:type="dxa" w:w="100"/>
              <w:right w:type="dxa" w:w="120"/>
            </w:tcMar>
          </w:tcPr>
          <w:p>
            <w:r>
              <w:rPr>
                <w:b w:val="false"/>
                <w:bCs w:val="false"/>
                <w:color w:val="1a1a1a"/>
                <w:sz w:val="20"/>
                <w:szCs w:val="20"/>
              </w:rPr>
              <w:t xml:space="preserve">Ensure reproducibility</w:t>
            </w:r>
          </w:p>
        </w:tc>
        <w:tc>
          <w:tcPr>
            <w:tcW w:type="dxa" w:w="5850"/>
            <w:tcMar>
              <w:top w:type="dxa" w:w="100"/>
              <w:left w:type="dxa" w:w="120"/>
              <w:bottom w:type="dxa" w:w="100"/>
              <w:right w:type="dxa" w:w="120"/>
            </w:tcMar>
          </w:tcPr>
          <w:p>
            <w:r>
              <w:rPr>
                <w:b w:val="false"/>
                <w:bCs w:val="false"/>
                <w:color w:val="1a1a1a"/>
                <w:sz w:val="20"/>
                <w:szCs w:val="20"/>
              </w:rPr>
              <w:t xml:space="preserve">Fresh install completes and runs successfully following documented steps</w:t>
            </w:r>
          </w:p>
        </w:tc>
      </w:tr>
      <w:tr>
        <w:tc>
          <w:tcPr>
            <w:tcW w:type="dxa" w:w="3500"/>
            <w:tcMar>
              <w:top w:type="dxa" w:w="100"/>
              <w:left w:type="dxa" w:w="120"/>
              <w:bottom w:type="dxa" w:w="100"/>
              <w:right w:type="dxa" w:w="120"/>
            </w:tcMar>
          </w:tcPr>
          <w:p>
            <w:r>
              <w:rPr>
                <w:b w:val="false"/>
                <w:bCs w:val="false"/>
                <w:color w:val="1a1a1a"/>
                <w:sz w:val="20"/>
                <w:szCs w:val="20"/>
              </w:rPr>
              <w:t xml:space="preserve">Support real-world deployment</w:t>
            </w:r>
          </w:p>
        </w:tc>
        <w:tc>
          <w:tcPr>
            <w:tcW w:type="dxa" w:w="5850"/>
            <w:tcMar>
              <w:top w:type="dxa" w:w="100"/>
              <w:left w:type="dxa" w:w="120"/>
              <w:bottom w:type="dxa" w:w="100"/>
              <w:right w:type="dxa" w:w="120"/>
            </w:tcMar>
          </w:tcPr>
          <w:p>
            <w:r>
              <w:rPr>
                <w:b w:val="false"/>
                <w:bCs w:val="false"/>
                <w:color w:val="1a1a1a"/>
                <w:sz w:val="20"/>
                <w:szCs w:val="20"/>
              </w:rPr>
              <w:t xml:space="preserve">Backend deployable on Alibaba Cloud ECS with public accessibility</w:t>
            </w:r>
          </w:p>
        </w:tc>
      </w:tr>
    </w:tbl>
    <w:p>
      <w:pPr>
        <w:pStyle w:val="Heading1"/>
        <w:spacing w:after="180" w:before="360"/>
      </w:pPr>
      <w:r>
        <w:rPr>
          <w:b/>
          <w:bCs/>
          <w:color w:val="1F2A44"/>
          <w:sz w:val="30"/>
          <w:szCs w:val="30"/>
        </w:rPr>
        <w:t xml:space="preserve">3. Target Users</w:t>
      </w:r>
    </w:p>
    <w:p>
      <w:pPr>
        <w:pStyle w:val="Heading2"/>
        <w:spacing w:after="140" w:before="260"/>
      </w:pPr>
      <w:r>
        <w:rPr>
          <w:b/>
          <w:bCs/>
          <w:color w:val="2E8AE6"/>
          <w:sz w:val="24"/>
          <w:szCs w:val="24"/>
        </w:rPr>
        <w:t xml:space="preserve">3.1 Primary Persona — The Business Operator</w:t>
      </w:r>
    </w:p>
    <w:p>
      <w:pPr>
        <w:spacing w:after="140" w:line="300"/>
      </w:pPr>
      <w:r>
        <w:rPr>
          <w:color w:val="1a1a1a"/>
          <w:sz w:val="22"/>
          <w:szCs w:val="22"/>
        </w:rPr>
        <w:t xml:space="preserve">A small business owner, startup founder, or consultant who needs a structured strategic document (market analysis, risk assessment, go-to-market plan) but lacks the time or team to produce one manually. This user values speed, credibility, and actionable specificity over conversational interaction.</w:t>
      </w:r>
    </w:p>
    <w:p>
      <w:pPr>
        <w:pStyle w:val="Heading2"/>
        <w:spacing w:after="140" w:before="260"/>
      </w:pPr>
      <w:r>
        <w:rPr>
          <w:b/>
          <w:bCs/>
          <w:color w:val="2E8AE6"/>
          <w:sz w:val="24"/>
          <w:szCs w:val="24"/>
        </w:rPr>
        <w:t xml:space="preserve">3.2 Secondary Persona — The Developer / Technical Evaluator</w:t>
      </w:r>
    </w:p>
    <w:p>
      <w:pPr>
        <w:spacing w:after="140" w:line="300"/>
      </w:pPr>
      <w:r>
        <w:rPr>
          <w:color w:val="1a1a1a"/>
          <w:sz w:val="22"/>
          <w:szCs w:val="22"/>
        </w:rPr>
        <w:t xml:space="preserve">A hackathon judge, engineer, or technical evaluator assessing the system's architecture, code quality, and integration depth with Qwen Cloud and Alibaba Cloud. This user values transparency, working demonstrations, and clear documentation.</w:t>
      </w:r>
    </w:p>
    <w:p>
      <w:pPr>
        <w:pStyle w:val="Heading1"/>
        <w:spacing w:after="180" w:before="360"/>
      </w:pPr>
      <w:r>
        <w:rPr>
          <w:b/>
          <w:bCs/>
          <w:color w:val="1F2A44"/>
          <w:sz w:val="30"/>
          <w:szCs w:val="30"/>
        </w:rPr>
        <w:t xml:space="preserve">4. Functional Requirements</w:t>
      </w:r>
    </w:p>
    <w:p>
      <w:pPr>
        <w:pStyle w:val="Heading2"/>
        <w:spacing w:after="140" w:before="260"/>
      </w:pPr>
      <w:r>
        <w:rPr>
          <w:b/>
          <w:bCs/>
          <w:color w:val="2E8AE6"/>
          <w:sz w:val="24"/>
          <w:szCs w:val="24"/>
        </w:rPr>
        <w:t xml:space="preserve">4.1 Multi-Agent Pipeline</w:t>
      </w:r>
    </w:p>
    <w:p>
      <w:pPr>
        <w:pStyle w:val="ListParagraph"/>
        <w:numPr>
          <w:ilvl w:val="0"/>
          <w:numId w:val="2"/>
        </w:numPr>
        <w:spacing w:after="80"/>
      </w:pPr>
      <w:r>
        <w:rPr>
          <w:sz w:val="22"/>
          <w:szCs w:val="22"/>
        </w:rPr>
        <w:t xml:space="preserve">Planner Agent: decomposes the submitted task into subtasks with explicit role assignments and dependencies.</w:t>
      </w:r>
    </w:p>
    <w:p>
      <w:pPr>
        <w:pStyle w:val="ListParagraph"/>
        <w:numPr>
          <w:ilvl w:val="0"/>
          <w:numId w:val="2"/>
        </w:numPr>
        <w:spacing w:after="80"/>
      </w:pPr>
      <w:r>
        <w:rPr>
          <w:sz w:val="22"/>
          <w:szCs w:val="22"/>
        </w:rPr>
        <w:t xml:space="preserve">Researcher Agent: synthesises relevant facts, data points, and context prior to drafting.</w:t>
      </w:r>
    </w:p>
    <w:p>
      <w:pPr>
        <w:pStyle w:val="ListParagraph"/>
        <w:numPr>
          <w:ilvl w:val="0"/>
          <w:numId w:val="2"/>
        </w:numPr>
        <w:spacing w:after="80"/>
      </w:pPr>
      <w:r>
        <w:rPr>
          <w:sz w:val="22"/>
          <w:szCs w:val="22"/>
        </w:rPr>
        <w:t xml:space="preserve">Writer Agent: produces a structured draft and revises it based on Critic feedback.</w:t>
      </w:r>
    </w:p>
    <w:p>
      <w:pPr>
        <w:pStyle w:val="ListParagraph"/>
        <w:numPr>
          <w:ilvl w:val="0"/>
          <w:numId w:val="2"/>
        </w:numPr>
        <w:spacing w:after="80"/>
      </w:pPr>
      <w:r>
        <w:rPr>
          <w:sz w:val="22"/>
          <w:szCs w:val="22"/>
        </w:rPr>
        <w:t xml:space="preserve">Critic Agent: scores each draft across five dimensions (accuracy, completeness, clarity, structure, depth) on a 1–10 scale, and returns specific revision guidance until an 8/10 average is reached or the maximum round limit is hit.</w:t>
      </w:r>
    </w:p>
    <w:p>
      <w:pPr>
        <w:pStyle w:val="ListParagraph"/>
        <w:numPr>
          <w:ilvl w:val="0"/>
          <w:numId w:val="2"/>
        </w:numPr>
        <w:spacing w:after="80"/>
      </w:pPr>
      <w:r>
        <w:rPr>
          <w:sz w:val="22"/>
          <w:szCs w:val="22"/>
        </w:rPr>
        <w:t xml:space="preserve">Executor Agent: packages the approved draft into a final deliverable with an executive summary, structured content, and action items.</w:t>
      </w:r>
    </w:p>
    <w:p>
      <w:pPr>
        <w:pStyle w:val="Heading2"/>
        <w:spacing w:after="140" w:before="260"/>
      </w:pPr>
      <w:r>
        <w:rPr>
          <w:b/>
          <w:bCs/>
          <w:color w:val="2E8AE6"/>
          <w:sz w:val="24"/>
          <w:szCs w:val="24"/>
        </w:rPr>
        <w:t xml:space="preserve">4.2 Shared Memory Layer</w:t>
      </w:r>
    </w:p>
    <w:p>
      <w:pPr>
        <w:spacing w:after="140" w:line="300"/>
      </w:pPr>
      <w:r>
        <w:rPr>
          <w:color w:val="1a1a1a"/>
          <w:sz w:val="22"/>
          <w:szCs w:val="22"/>
        </w:rPr>
        <w:t xml:space="preserve">All agents read from and write to a common in-session memory store (the "whiteboard"), ensuring each agent has access to the original task, prior agent outputs, and revision history without redundant context passing.</w:t>
      </w:r>
    </w:p>
    <w:p>
      <w:pPr>
        <w:pStyle w:val="Heading2"/>
        <w:spacing w:after="140" w:before="260"/>
      </w:pPr>
      <w:r>
        <w:rPr>
          <w:b/>
          <w:bCs/>
          <w:color w:val="2E8AE6"/>
          <w:sz w:val="24"/>
          <w:szCs w:val="24"/>
        </w:rPr>
        <w:t xml:space="preserve">4.3 Persistence Layer</w:t>
      </w:r>
    </w:p>
    <w:p>
      <w:pPr>
        <w:spacing w:after="140" w:line="300"/>
      </w:pPr>
      <w:r>
        <w:rPr>
          <w:color w:val="1a1a1a"/>
          <w:sz w:val="22"/>
          <w:szCs w:val="22"/>
        </w:rPr>
        <w:t xml:space="preserve">Every completed session — task, plan, research, all draft versions, critique history, and final output — is written to a local SQLite database. This provides an audit trail and allows historical session review via a command-line utility.</w:t>
      </w:r>
    </w:p>
    <w:p>
      <w:pPr>
        <w:pStyle w:val="Heading2"/>
        <w:spacing w:after="140" w:before="260"/>
      </w:pPr>
      <w:r>
        <w:rPr>
          <w:b/>
          <w:bCs/>
          <w:color w:val="2E8AE6"/>
          <w:sz w:val="24"/>
          <w:szCs w:val="24"/>
        </w:rPr>
        <w:t xml:space="preserve">4.4 Web Interface</w:t>
      </w:r>
    </w:p>
    <w:p>
      <w:pPr>
        <w:spacing w:after="140" w:line="300"/>
      </w:pPr>
      <w:r>
        <w:rPr>
          <w:color w:val="1a1a1a"/>
          <w:sz w:val="22"/>
          <w:szCs w:val="22"/>
        </w:rPr>
        <w:t xml:space="preserve">A browser-based interface allows a user to submit a task and view the final formatted output without needing command-line access. The interface communicates with the backend over a fixed internal API route and requires no technical configuration from the end user.</w:t>
      </w:r>
    </w:p>
    <w:p>
      <w:pPr>
        <w:pStyle w:val="Heading2"/>
        <w:spacing w:after="140" w:before="260"/>
      </w:pPr>
      <w:r>
        <w:rPr>
          <w:b/>
          <w:bCs/>
          <w:color w:val="2E8AE6"/>
          <w:sz w:val="24"/>
          <w:szCs w:val="24"/>
        </w:rPr>
        <w:t xml:space="preserve">4.5 REST API</w:t>
      </w:r>
    </w:p>
    <w:p>
      <w:pPr>
        <w:spacing w:after="140" w:line="300"/>
      </w:pPr>
      <w:r>
        <w:rPr>
          <w:color w:val="1a1a1a"/>
          <w:sz w:val="22"/>
          <w:szCs w:val="22"/>
        </w:rPr>
        <w:t xml:space="preserve">A FastAPI backend exposes task submission, health check, demo, and session history endpoints, enabling integration into other systems or automated testing.</w:t>
      </w:r>
    </w:p>
    <w:p>
      <w:pPr>
        <w:pStyle w:val="Heading2"/>
        <w:spacing w:after="140" w:before="260"/>
      </w:pPr>
      <w:r>
        <w:rPr>
          <w:b/>
          <w:bCs/>
          <w:color w:val="2E8AE6"/>
          <w:sz w:val="24"/>
          <w:szCs w:val="24"/>
        </w:rPr>
        <w:t xml:space="preserve">4.6 Desktop Launch Experience</w:t>
      </w:r>
    </w:p>
    <w:p>
      <w:pPr>
        <w:spacing w:after="140" w:line="300"/>
      </w:pPr>
      <w:r>
        <w:rPr>
          <w:color w:val="1a1a1a"/>
          <w:sz w:val="22"/>
          <w:szCs w:val="22"/>
        </w:rPr>
        <w:t xml:space="preserve">A one-click Windows launcher starts the backend server and opens the web interface automatically in the default browser, removing the need for manual command-line operation during normal use.</w:t>
      </w:r>
    </w:p>
    <w:p>
      <w:pPr>
        <w:pStyle w:val="Heading1"/>
        <w:spacing w:after="180" w:before="360"/>
      </w:pPr>
      <w:r>
        <w:rPr>
          <w:b/>
          <w:bCs/>
          <w:color w:val="1F2A44"/>
          <w:sz w:val="30"/>
          <w:szCs w:val="30"/>
        </w:rPr>
        <w:t xml:space="preserve">5.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2A44" w:val="clear"/>
            <w:tcMar>
              <w:top w:type="dxa" w:w="100"/>
              <w:left w:type="dxa" w:w="120"/>
              <w:bottom w:type="dxa" w:w="100"/>
              <w:right w:type="dxa" w:w="120"/>
            </w:tcMar>
          </w:tcPr>
          <w:p>
            <w:r>
              <w:rPr>
                <w:b/>
                <w:bCs/>
                <w:color w:val="FFFFFF"/>
                <w:sz w:val="20"/>
                <w:szCs w:val="20"/>
              </w:rPr>
              <w:t xml:space="preserve">Category</w:t>
            </w:r>
          </w:p>
        </w:tc>
        <w:tc>
          <w:tcPr>
            <w:tcW w:type="dxa" w:w="6850"/>
            <w:shd w:fill="1F2A44" w:val="clear"/>
            <w:tcMar>
              <w:top w:type="dxa" w:w="100"/>
              <w:left w:type="dxa" w:w="120"/>
              <w:bottom w:type="dxa" w:w="100"/>
              <w:right w:type="dxa" w:w="120"/>
            </w:tcMar>
          </w:tcPr>
          <w:p>
            <w:r>
              <w:rPr>
                <w:b/>
                <w:bCs/>
                <w:color w:val="FFFFFF"/>
                <w:sz w:val="20"/>
                <w:szCs w:val="20"/>
              </w:rPr>
              <w:t xml:space="preserve">Requirement</w:t>
            </w:r>
          </w:p>
        </w:tc>
      </w:tr>
      <w:tr>
        <w:tc>
          <w:tcPr>
            <w:tcW w:type="dxa" w:w="2500"/>
            <w:tcMar>
              <w:top w:type="dxa" w:w="100"/>
              <w:left w:type="dxa" w:w="120"/>
              <w:bottom w:type="dxa" w:w="100"/>
              <w:right w:type="dxa" w:w="120"/>
            </w:tcMar>
          </w:tcPr>
          <w:p>
            <w:r>
              <w:rPr>
                <w:b w:val="false"/>
                <w:bCs w:val="false"/>
                <w:color w:val="1a1a1a"/>
                <w:sz w:val="20"/>
                <w:szCs w:val="20"/>
              </w:rPr>
              <w:t xml:space="preserve">Performance</w:t>
            </w:r>
          </w:p>
        </w:tc>
        <w:tc>
          <w:tcPr>
            <w:tcW w:type="dxa" w:w="6850"/>
            <w:tcMar>
              <w:top w:type="dxa" w:w="100"/>
              <w:left w:type="dxa" w:w="120"/>
              <w:bottom w:type="dxa" w:w="100"/>
              <w:right w:type="dxa" w:w="120"/>
            </w:tcMar>
          </w:tcPr>
          <w:p>
            <w:r>
              <w:rPr>
                <w:b w:val="false"/>
                <w:bCs w:val="false"/>
                <w:color w:val="1a1a1a"/>
                <w:sz w:val="20"/>
                <w:szCs w:val="20"/>
              </w:rPr>
              <w:t xml:space="preserve">A standard task completes in 30–90 seconds under normal Qwen Cloud API latency</w:t>
            </w:r>
          </w:p>
        </w:tc>
      </w:tr>
      <w:tr>
        <w:tc>
          <w:tcPr>
            <w:tcW w:type="dxa" w:w="2500"/>
            <w:tcMar>
              <w:top w:type="dxa" w:w="100"/>
              <w:left w:type="dxa" w:w="120"/>
              <w:bottom w:type="dxa" w:w="100"/>
              <w:right w:type="dxa" w:w="120"/>
            </w:tcMar>
          </w:tcPr>
          <w:p>
            <w:r>
              <w:rPr>
                <w:b w:val="false"/>
                <w:bCs w:val="false"/>
                <w:color w:val="1a1a1a"/>
                <w:sz w:val="20"/>
                <w:szCs w:val="20"/>
              </w:rPr>
              <w:t xml:space="preserve">Reliability</w:t>
            </w:r>
          </w:p>
        </w:tc>
        <w:tc>
          <w:tcPr>
            <w:tcW w:type="dxa" w:w="6850"/>
            <w:tcMar>
              <w:top w:type="dxa" w:w="100"/>
              <w:left w:type="dxa" w:w="120"/>
              <w:bottom w:type="dxa" w:w="100"/>
              <w:right w:type="dxa" w:w="120"/>
            </w:tcMar>
          </w:tcPr>
          <w:p>
            <w:r>
              <w:rPr>
                <w:b w:val="false"/>
                <w:bCs w:val="false"/>
                <w:color w:val="1a1a1a"/>
                <w:sz w:val="20"/>
                <w:szCs w:val="20"/>
              </w:rPr>
              <w:t xml:space="preserve">System must install and run consistently on a clean Windows environment following documented setup steps</w:t>
            </w:r>
          </w:p>
        </w:tc>
      </w:tr>
      <w:tr>
        <w:tc>
          <w:tcPr>
            <w:tcW w:type="dxa" w:w="2500"/>
            <w:tcMar>
              <w:top w:type="dxa" w:w="100"/>
              <w:left w:type="dxa" w:w="120"/>
              <w:bottom w:type="dxa" w:w="100"/>
              <w:right w:type="dxa" w:w="120"/>
            </w:tcMar>
          </w:tcPr>
          <w:p>
            <w:r>
              <w:rPr>
                <w:b w:val="false"/>
                <w:bCs w:val="false"/>
                <w:color w:val="1a1a1a"/>
                <w:sz w:val="20"/>
                <w:szCs w:val="20"/>
              </w:rPr>
              <w:t xml:space="preserve">Security</w:t>
            </w:r>
          </w:p>
        </w:tc>
        <w:tc>
          <w:tcPr>
            <w:tcW w:type="dxa" w:w="6850"/>
            <w:tcMar>
              <w:top w:type="dxa" w:w="100"/>
              <w:left w:type="dxa" w:w="120"/>
              <w:bottom w:type="dxa" w:w="100"/>
              <w:right w:type="dxa" w:w="120"/>
            </w:tcMar>
          </w:tcPr>
          <w:p>
            <w:r>
              <w:rPr>
                <w:b w:val="false"/>
                <w:bCs w:val="false"/>
                <w:color w:val="1a1a1a"/>
                <w:sz w:val="20"/>
                <w:szCs w:val="20"/>
              </w:rPr>
              <w:t xml:space="preserve">API keys stored only in a local, git-ignored environment file; never hardcoded or committed to source control</w:t>
            </w:r>
          </w:p>
        </w:tc>
      </w:tr>
      <w:tr>
        <w:tc>
          <w:tcPr>
            <w:tcW w:type="dxa" w:w="2500"/>
            <w:tcMar>
              <w:top w:type="dxa" w:w="100"/>
              <w:left w:type="dxa" w:w="120"/>
              <w:bottom w:type="dxa" w:w="100"/>
              <w:right w:type="dxa" w:w="120"/>
            </w:tcMar>
          </w:tcPr>
          <w:p>
            <w:r>
              <w:rPr>
                <w:b w:val="false"/>
                <w:bCs w:val="false"/>
                <w:color w:val="1a1a1a"/>
                <w:sz w:val="20"/>
                <w:szCs w:val="20"/>
              </w:rPr>
              <w:t xml:space="preserve">Portability</w:t>
            </w:r>
          </w:p>
        </w:tc>
        <w:tc>
          <w:tcPr>
            <w:tcW w:type="dxa" w:w="6850"/>
            <w:tcMar>
              <w:top w:type="dxa" w:w="100"/>
              <w:left w:type="dxa" w:w="120"/>
              <w:bottom w:type="dxa" w:w="100"/>
              <w:right w:type="dxa" w:w="120"/>
            </w:tcMar>
          </w:tcPr>
          <w:p>
            <w:r>
              <w:rPr>
                <w:b w:val="false"/>
                <w:bCs w:val="false"/>
                <w:color w:val="1a1a1a"/>
                <w:sz w:val="20"/>
                <w:szCs w:val="20"/>
              </w:rPr>
              <w:t xml:space="preserve">Backend deployable to Alibaba Cloud ECS with no code changes required, only environment configuration</w:t>
            </w:r>
          </w:p>
        </w:tc>
      </w:tr>
      <w:tr>
        <w:tc>
          <w:tcPr>
            <w:tcW w:type="dxa" w:w="2500"/>
            <w:tcMar>
              <w:top w:type="dxa" w:w="100"/>
              <w:left w:type="dxa" w:w="120"/>
              <w:bottom w:type="dxa" w:w="100"/>
              <w:right w:type="dxa" w:w="120"/>
            </w:tcMar>
          </w:tcPr>
          <w:p>
            <w:r>
              <w:rPr>
                <w:b w:val="false"/>
                <w:bCs w:val="false"/>
                <w:color w:val="1a1a1a"/>
                <w:sz w:val="20"/>
                <w:szCs w:val="20"/>
              </w:rPr>
              <w:t xml:space="preserve">Usability</w:t>
            </w:r>
          </w:p>
        </w:tc>
        <w:tc>
          <w:tcPr>
            <w:tcW w:type="dxa" w:w="6850"/>
            <w:tcMar>
              <w:top w:type="dxa" w:w="100"/>
              <w:left w:type="dxa" w:w="120"/>
              <w:bottom w:type="dxa" w:w="100"/>
              <w:right w:type="dxa" w:w="120"/>
            </w:tcMar>
          </w:tcPr>
          <w:p>
            <w:r>
              <w:rPr>
                <w:b w:val="false"/>
                <w:bCs w:val="false"/>
                <w:color w:val="1a1a1a"/>
                <w:sz w:val="20"/>
                <w:szCs w:val="20"/>
              </w:rPr>
              <w:t xml:space="preserve">Non-technical users can operate the system entirely through the web interface without seeing implementation details</w:t>
            </w:r>
          </w:p>
        </w:tc>
      </w:tr>
    </w:tbl>
    <w:p>
      <w:r>
        <w:br w:type="page"/>
      </w:r>
    </w:p>
    <w:p>
      <w:pPr>
        <w:pStyle w:val="Heading1"/>
        <w:spacing w:after="180" w:before="360"/>
      </w:pPr>
      <w:r>
        <w:rPr>
          <w:b/>
          <w:bCs/>
          <w:color w:val="1F2A44"/>
          <w:sz w:val="30"/>
          <w:szCs w:val="30"/>
        </w:rPr>
        <w:t xml:space="preserve">6. System Architecture</w:t>
      </w:r>
    </w:p>
    <w:p>
      <w:pPr>
        <w:spacing w:after="140" w:line="300"/>
      </w:pPr>
      <w:r>
        <w:rPr>
          <w:color w:val="1a1a1a"/>
          <w:sz w:val="22"/>
          <w:szCs w:val="22"/>
        </w:rPr>
        <w:t xml:space="preserve">The system follows a layered client-server architecture:</w:t>
      </w:r>
    </w:p>
    <w:p>
      <w:pPr>
        <w:pStyle w:val="ListParagraph"/>
        <w:numPr>
          <w:ilvl w:val="0"/>
          <w:numId w:val="2"/>
        </w:numPr>
        <w:spacing w:after="80"/>
      </w:pPr>
      <w:r>
        <w:rPr>
          <w:sz w:val="22"/>
          <w:szCs w:val="22"/>
        </w:rPr>
        <w:t xml:space="preserve">Presentation Layer: static HTML/CSS/JavaScript web interface, served directly by the backend.</w:t>
      </w:r>
    </w:p>
    <w:p>
      <w:pPr>
        <w:pStyle w:val="ListParagraph"/>
        <w:numPr>
          <w:ilvl w:val="0"/>
          <w:numId w:val="2"/>
        </w:numPr>
        <w:spacing w:after="80"/>
      </w:pPr>
      <w:r>
        <w:rPr>
          <w:sz w:val="22"/>
          <w:szCs w:val="22"/>
        </w:rPr>
        <w:t xml:space="preserve">Application Layer: FastAPI REST backend coordinating agent execution via an Orchestrator.</w:t>
      </w:r>
    </w:p>
    <w:p>
      <w:pPr>
        <w:pStyle w:val="ListParagraph"/>
        <w:numPr>
          <w:ilvl w:val="0"/>
          <w:numId w:val="2"/>
        </w:numPr>
        <w:spacing w:after="80"/>
      </w:pPr>
      <w:r>
        <w:rPr>
          <w:sz w:val="22"/>
          <w:szCs w:val="22"/>
        </w:rPr>
        <w:t xml:space="preserve">Agent Layer: five specialist agents, each a distinct class inheriting from a shared base agent, calling Qwen Cloud independently.</w:t>
      </w:r>
    </w:p>
    <w:p>
      <w:pPr>
        <w:pStyle w:val="ListParagraph"/>
        <w:numPr>
          <w:ilvl w:val="0"/>
          <w:numId w:val="2"/>
        </w:numPr>
        <w:spacing w:after="80"/>
      </w:pPr>
      <w:r>
        <w:rPr>
          <w:sz w:val="22"/>
          <w:szCs w:val="22"/>
        </w:rPr>
        <w:t xml:space="preserve">Memory Layer: in-session shared memory for agent-to-agent state sharing.</w:t>
      </w:r>
    </w:p>
    <w:p>
      <w:pPr>
        <w:pStyle w:val="ListParagraph"/>
        <w:numPr>
          <w:ilvl w:val="0"/>
          <w:numId w:val="2"/>
        </w:numPr>
        <w:spacing w:after="80"/>
      </w:pPr>
      <w:r>
        <w:rPr>
          <w:sz w:val="22"/>
          <w:szCs w:val="22"/>
        </w:rPr>
        <w:t xml:space="preserve">Persistence Layer: SQLite database storing completed session records.</w:t>
      </w:r>
    </w:p>
    <w:p>
      <w:pPr>
        <w:pStyle w:val="ListParagraph"/>
        <w:numPr>
          <w:ilvl w:val="0"/>
          <w:numId w:val="2"/>
        </w:numPr>
        <w:spacing w:after="80"/>
      </w:pPr>
      <w:r>
        <w:rPr>
          <w:sz w:val="22"/>
          <w:szCs w:val="22"/>
        </w:rPr>
        <w:t xml:space="preserve">External Services: Qwen Cloud (DashScope API) for all language model inference; Alibaba Cloud ECS for backend hosting; Alibaba Cloud OSS for session log archival.</w:t>
      </w:r>
    </w:p>
    <w:p>
      <w:pPr>
        <w:spacing w:after="140" w:line="300"/>
      </w:pPr>
      <w:r>
        <w:rPr>
          <w:color w:val="1a1a1a"/>
          <w:sz w:val="22"/>
          <w:szCs w:val="22"/>
        </w:rPr>
        <w:t xml:space="preserve">Full architecture diagram is maintained in the project repository as architecture_diagram_v2.jpg, and shows the complete data flow from user request through to Qwen Cloud and back.</w:t>
      </w:r>
    </w:p>
    <w:p>
      <w:pPr>
        <w:pStyle w:val="Heading1"/>
        <w:spacing w:after="180" w:before="360"/>
      </w:pPr>
      <w:r>
        <w:rPr>
          <w:b/>
          <w:bCs/>
          <w:color w:val="1F2A44"/>
          <w:sz w:val="30"/>
          <w:szCs w:val="30"/>
        </w:rPr>
        <w:t xml:space="preserve">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1F2A44" w:val="clear"/>
            <w:tcMar>
              <w:top w:type="dxa" w:w="100"/>
              <w:left w:type="dxa" w:w="120"/>
              <w:bottom w:type="dxa" w:w="100"/>
              <w:right w:type="dxa" w:w="120"/>
            </w:tcMar>
          </w:tcPr>
          <w:p>
            <w:r>
              <w:rPr>
                <w:b/>
                <w:bCs/>
                <w:color w:val="FFFFFF"/>
                <w:sz w:val="20"/>
                <w:szCs w:val="20"/>
              </w:rPr>
              <w:t xml:space="preserve">Layer</w:t>
            </w:r>
          </w:p>
        </w:tc>
        <w:tc>
          <w:tcPr>
            <w:tcW w:type="dxa" w:w="6850"/>
            <w:shd w:fill="1F2A44" w:val="clear"/>
            <w:tcMar>
              <w:top w:type="dxa" w:w="100"/>
              <w:left w:type="dxa" w:w="120"/>
              <w:bottom w:type="dxa" w:w="100"/>
              <w:right w:type="dxa" w:w="120"/>
            </w:tcMar>
          </w:tcPr>
          <w:p>
            <w:r>
              <w:rPr>
                <w:b/>
                <w:bCs/>
                <w:color w:val="FFFFFF"/>
                <w:sz w:val="20"/>
                <w:szCs w:val="20"/>
              </w:rPr>
              <w:t xml:space="preserve">Technology</w:t>
            </w:r>
          </w:p>
        </w:tc>
      </w:tr>
      <w:tr>
        <w:tc>
          <w:tcPr>
            <w:tcW w:type="dxa" w:w="2500"/>
            <w:tcMar>
              <w:top w:type="dxa" w:w="100"/>
              <w:left w:type="dxa" w:w="120"/>
              <w:bottom w:type="dxa" w:w="100"/>
              <w:right w:type="dxa" w:w="120"/>
            </w:tcMar>
          </w:tcPr>
          <w:p>
            <w:r>
              <w:rPr>
                <w:b w:val="false"/>
                <w:bCs w:val="false"/>
                <w:color w:val="1a1a1a"/>
                <w:sz w:val="20"/>
                <w:szCs w:val="20"/>
              </w:rPr>
              <w:t xml:space="preserve">Language</w:t>
            </w:r>
          </w:p>
        </w:tc>
        <w:tc>
          <w:tcPr>
            <w:tcW w:type="dxa" w:w="6850"/>
            <w:tcMar>
              <w:top w:type="dxa" w:w="100"/>
              <w:left w:type="dxa" w:w="120"/>
              <w:bottom w:type="dxa" w:w="100"/>
              <w:right w:type="dxa" w:w="120"/>
            </w:tcMar>
          </w:tcPr>
          <w:p>
            <w:r>
              <w:rPr>
                <w:b w:val="false"/>
                <w:bCs w:val="false"/>
                <w:color w:val="1a1a1a"/>
                <w:sz w:val="20"/>
                <w:szCs w:val="20"/>
              </w:rPr>
              <w:t xml:space="preserve">Python 3.11, HTML, CSS, JavaScript</w:t>
            </w:r>
          </w:p>
        </w:tc>
      </w:tr>
      <w:tr>
        <w:tc>
          <w:tcPr>
            <w:tcW w:type="dxa" w:w="2500"/>
            <w:tcMar>
              <w:top w:type="dxa" w:w="100"/>
              <w:left w:type="dxa" w:w="120"/>
              <w:bottom w:type="dxa" w:w="100"/>
              <w:right w:type="dxa" w:w="120"/>
            </w:tcMar>
          </w:tcPr>
          <w:p>
            <w:r>
              <w:rPr>
                <w:b w:val="false"/>
                <w:bCs w:val="false"/>
                <w:color w:val="1a1a1a"/>
                <w:sz w:val="20"/>
                <w:szCs w:val="20"/>
              </w:rPr>
              <w:t xml:space="preserve">Backend Framework</w:t>
            </w:r>
          </w:p>
        </w:tc>
        <w:tc>
          <w:tcPr>
            <w:tcW w:type="dxa" w:w="6850"/>
            <w:tcMar>
              <w:top w:type="dxa" w:w="100"/>
              <w:left w:type="dxa" w:w="120"/>
              <w:bottom w:type="dxa" w:w="100"/>
              <w:right w:type="dxa" w:w="120"/>
            </w:tcMar>
          </w:tcPr>
          <w:p>
            <w:r>
              <w:rPr>
                <w:b w:val="false"/>
                <w:bCs w:val="false"/>
                <w:color w:val="1a1a1a"/>
                <w:sz w:val="20"/>
                <w:szCs w:val="20"/>
              </w:rPr>
              <w:t xml:space="preserve">FastAPI, Uvicorn, Pydantic</w:t>
            </w:r>
          </w:p>
        </w:tc>
      </w:tr>
      <w:tr>
        <w:tc>
          <w:tcPr>
            <w:tcW w:type="dxa" w:w="2500"/>
            <w:tcMar>
              <w:top w:type="dxa" w:w="100"/>
              <w:left w:type="dxa" w:w="120"/>
              <w:bottom w:type="dxa" w:w="100"/>
              <w:right w:type="dxa" w:w="120"/>
            </w:tcMar>
          </w:tcPr>
          <w:p>
            <w:r>
              <w:rPr>
                <w:b w:val="false"/>
                <w:bCs w:val="false"/>
                <w:color w:val="1a1a1a"/>
                <w:sz w:val="20"/>
                <w:szCs w:val="20"/>
              </w:rPr>
              <w:t xml:space="preserve">AI Model API</w:t>
            </w:r>
          </w:p>
        </w:tc>
        <w:tc>
          <w:tcPr>
            <w:tcW w:type="dxa" w:w="6850"/>
            <w:tcMar>
              <w:top w:type="dxa" w:w="100"/>
              <w:left w:type="dxa" w:w="120"/>
              <w:bottom w:type="dxa" w:w="100"/>
              <w:right w:type="dxa" w:w="120"/>
            </w:tcMar>
          </w:tcPr>
          <w:p>
            <w:r>
              <w:rPr>
                <w:b w:val="false"/>
                <w:bCs w:val="false"/>
                <w:color w:val="1a1a1a"/>
                <w:sz w:val="20"/>
                <w:szCs w:val="20"/>
              </w:rPr>
              <w:t xml:space="preserve">Qwen Cloud (DashScope), qwen-plus / qwen-turbo / qwen-max</w:t>
            </w:r>
          </w:p>
        </w:tc>
      </w:tr>
      <w:tr>
        <w:tc>
          <w:tcPr>
            <w:tcW w:type="dxa" w:w="2500"/>
            <w:tcMar>
              <w:top w:type="dxa" w:w="100"/>
              <w:left w:type="dxa" w:w="120"/>
              <w:bottom w:type="dxa" w:w="100"/>
              <w:right w:type="dxa" w:w="120"/>
            </w:tcMar>
          </w:tcPr>
          <w:p>
            <w:r>
              <w:rPr>
                <w:b w:val="false"/>
                <w:bCs w:val="false"/>
                <w:color w:val="1a1a1a"/>
                <w:sz w:val="20"/>
                <w:szCs w:val="20"/>
              </w:rPr>
              <w:t xml:space="preserve">Database</w:t>
            </w:r>
          </w:p>
        </w:tc>
        <w:tc>
          <w:tcPr>
            <w:tcW w:type="dxa" w:w="6850"/>
            <w:tcMar>
              <w:top w:type="dxa" w:w="100"/>
              <w:left w:type="dxa" w:w="120"/>
              <w:bottom w:type="dxa" w:w="100"/>
              <w:right w:type="dxa" w:w="120"/>
            </w:tcMar>
          </w:tcPr>
          <w:p>
            <w:r>
              <w:rPr>
                <w:b w:val="false"/>
                <w:bCs w:val="false"/>
                <w:color w:val="1a1a1a"/>
                <w:sz w:val="20"/>
                <w:szCs w:val="20"/>
              </w:rPr>
              <w:t xml:space="preserve">SQLite</w:t>
            </w:r>
          </w:p>
        </w:tc>
      </w:tr>
      <w:tr>
        <w:tc>
          <w:tcPr>
            <w:tcW w:type="dxa" w:w="2500"/>
            <w:tcMar>
              <w:top w:type="dxa" w:w="100"/>
              <w:left w:type="dxa" w:w="120"/>
              <w:bottom w:type="dxa" w:w="100"/>
              <w:right w:type="dxa" w:w="120"/>
            </w:tcMar>
          </w:tcPr>
          <w:p>
            <w:r>
              <w:rPr>
                <w:b w:val="false"/>
                <w:bCs w:val="false"/>
                <w:color w:val="1a1a1a"/>
                <w:sz w:val="20"/>
                <w:szCs w:val="20"/>
              </w:rPr>
              <w:t xml:space="preserve">Cloud Infrastructure</w:t>
            </w:r>
          </w:p>
        </w:tc>
        <w:tc>
          <w:tcPr>
            <w:tcW w:type="dxa" w:w="6850"/>
            <w:tcMar>
              <w:top w:type="dxa" w:w="100"/>
              <w:left w:type="dxa" w:w="120"/>
              <w:bottom w:type="dxa" w:w="100"/>
              <w:right w:type="dxa" w:w="120"/>
            </w:tcMar>
          </w:tcPr>
          <w:p>
            <w:r>
              <w:rPr>
                <w:b w:val="false"/>
                <w:bCs w:val="false"/>
                <w:color w:val="1a1a1a"/>
                <w:sz w:val="20"/>
                <w:szCs w:val="20"/>
              </w:rPr>
              <w:t xml:space="preserve">Alibaba Cloud ECS, Alibaba Cloud OSS</w:t>
            </w:r>
          </w:p>
        </w:tc>
      </w:tr>
      <w:tr>
        <w:tc>
          <w:tcPr>
            <w:tcW w:type="dxa" w:w="2500"/>
            <w:tcMar>
              <w:top w:type="dxa" w:w="100"/>
              <w:left w:type="dxa" w:w="120"/>
              <w:bottom w:type="dxa" w:w="100"/>
              <w:right w:type="dxa" w:w="120"/>
            </w:tcMar>
          </w:tcPr>
          <w:p>
            <w:r>
              <w:rPr>
                <w:b w:val="false"/>
                <w:bCs w:val="false"/>
                <w:color w:val="1a1a1a"/>
                <w:sz w:val="20"/>
                <w:szCs w:val="20"/>
              </w:rPr>
              <w:t xml:space="preserve">Version Control</w:t>
            </w:r>
          </w:p>
        </w:tc>
        <w:tc>
          <w:tcPr>
            <w:tcW w:type="dxa" w:w="6850"/>
            <w:tcMar>
              <w:top w:type="dxa" w:w="100"/>
              <w:left w:type="dxa" w:w="120"/>
              <w:bottom w:type="dxa" w:w="100"/>
              <w:right w:type="dxa" w:w="120"/>
            </w:tcMar>
          </w:tcPr>
          <w:p>
            <w:r>
              <w:rPr>
                <w:b w:val="false"/>
                <w:bCs w:val="false"/>
                <w:color w:val="1a1a1a"/>
                <w:sz w:val="20"/>
                <w:szCs w:val="20"/>
              </w:rPr>
              <w:t xml:space="preserve">Git, GitHub (public, MIT licensed)</w:t>
            </w:r>
          </w:p>
        </w:tc>
      </w:tr>
    </w:tbl>
    <w:p>
      <w:r>
        <w:br w:type="page"/>
      </w:r>
    </w:p>
    <w:p>
      <w:pPr>
        <w:pStyle w:val="Heading1"/>
        <w:spacing w:after="180" w:before="360"/>
      </w:pPr>
      <w:r>
        <w:rPr>
          <w:b/>
          <w:bCs/>
          <w:color w:val="1F2A44"/>
          <w:sz w:val="30"/>
          <w:szCs w:val="30"/>
        </w:rPr>
        <w:t xml:space="preserve">8. User Flow</w:t>
      </w:r>
    </w:p>
    <w:p>
      <w:pPr>
        <w:pStyle w:val="ListParagraph"/>
        <w:numPr>
          <w:ilvl w:val="0"/>
          <w:numId w:val="2"/>
        </w:numPr>
        <w:spacing w:after="80"/>
      </w:pPr>
      <w:r>
        <w:rPr>
          <w:sz w:val="22"/>
          <w:szCs w:val="22"/>
        </w:rPr>
        <w:t xml:space="preserve">User launches the application via the desktop launcher or navigates to the deployed URL.</w:t>
      </w:r>
    </w:p>
    <w:p>
      <w:pPr>
        <w:pStyle w:val="ListParagraph"/>
        <w:numPr>
          <w:ilvl w:val="0"/>
          <w:numId w:val="2"/>
        </w:numPr>
        <w:spacing w:after="80"/>
      </w:pPr>
      <w:r>
        <w:rPr>
          <w:sz w:val="22"/>
          <w:szCs w:val="22"/>
        </w:rPr>
        <w:t xml:space="preserve">User enters a task description in the input field and submits it.</w:t>
      </w:r>
    </w:p>
    <w:p>
      <w:pPr>
        <w:pStyle w:val="ListParagraph"/>
        <w:numPr>
          <w:ilvl w:val="0"/>
          <w:numId w:val="2"/>
        </w:numPr>
        <w:spacing w:after="80"/>
      </w:pPr>
      <w:r>
        <w:rPr>
          <w:sz w:val="22"/>
          <w:szCs w:val="22"/>
        </w:rPr>
        <w:t xml:space="preserve">Backend receives the request and the Orchestrator initiates the agent pipeline.</w:t>
      </w:r>
    </w:p>
    <w:p>
      <w:pPr>
        <w:pStyle w:val="ListParagraph"/>
        <w:numPr>
          <w:ilvl w:val="0"/>
          <w:numId w:val="2"/>
        </w:numPr>
        <w:spacing w:after="80"/>
      </w:pPr>
      <w:r>
        <w:rPr>
          <w:sz w:val="22"/>
          <w:szCs w:val="22"/>
        </w:rPr>
        <w:t xml:space="preserve">Planner, Researcher, Writer, and Critic execute in sequence, with the Writer–Critic loop repeating until approval or the round limit is reached.</w:t>
      </w:r>
    </w:p>
    <w:p>
      <w:pPr>
        <w:pStyle w:val="ListParagraph"/>
        <w:numPr>
          <w:ilvl w:val="0"/>
          <w:numId w:val="2"/>
        </w:numPr>
        <w:spacing w:after="80"/>
      </w:pPr>
      <w:r>
        <w:rPr>
          <w:sz w:val="22"/>
          <w:szCs w:val="22"/>
        </w:rPr>
        <w:t xml:space="preserve">Executor packages the approved output; the session is persisted to the database.</w:t>
      </w:r>
    </w:p>
    <w:p>
      <w:pPr>
        <w:pStyle w:val="ListParagraph"/>
        <w:numPr>
          <w:ilvl w:val="0"/>
          <w:numId w:val="2"/>
        </w:numPr>
        <w:spacing w:after="80"/>
      </w:pPr>
      <w:r>
        <w:rPr>
          <w:sz w:val="22"/>
          <w:szCs w:val="22"/>
        </w:rPr>
        <w:t xml:space="preserve">Formatted result, along with round count and efficiency metrics, is returned to the user interface.</w:t>
      </w:r>
    </w:p>
    <w:p>
      <w:pPr>
        <w:pStyle w:val="Heading1"/>
        <w:spacing w:after="180" w:before="360"/>
      </w:pPr>
      <w:r>
        <w:rPr>
          <w:b/>
          <w:bCs/>
          <w:color w:val="1F2A44"/>
          <w:sz w:val="30"/>
          <w:szCs w:val="30"/>
        </w:rPr>
        <w:t xml:space="preserve">9.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shd w:fill="1F2A44" w:val="clear"/>
            <w:tcMar>
              <w:top w:type="dxa" w:w="100"/>
              <w:left w:type="dxa" w:w="120"/>
              <w:bottom w:type="dxa" w:w="100"/>
              <w:right w:type="dxa" w:w="120"/>
            </w:tcMar>
          </w:tcPr>
          <w:p>
            <w:r>
              <w:rPr>
                <w:b/>
                <w:bCs/>
                <w:color w:val="FFFFFF"/>
                <w:sz w:val="20"/>
                <w:szCs w:val="20"/>
              </w:rPr>
              <w:t xml:space="preserve">Risk</w:t>
            </w:r>
          </w:p>
        </w:tc>
        <w:tc>
          <w:tcPr>
            <w:tcW w:type="dxa" w:w="5850"/>
            <w:shd w:fill="1F2A44" w:val="clear"/>
            <w:tcMar>
              <w:top w:type="dxa" w:w="100"/>
              <w:left w:type="dxa" w:w="120"/>
              <w:bottom w:type="dxa" w:w="100"/>
              <w:right w:type="dxa" w:w="120"/>
            </w:tcMar>
          </w:tcPr>
          <w:p>
            <w:r>
              <w:rPr>
                <w:b/>
                <w:bCs/>
                <w:color w:val="FFFFFF"/>
                <w:sz w:val="20"/>
                <w:szCs w:val="20"/>
              </w:rPr>
              <w:t xml:space="preserve">Mitigation</w:t>
            </w:r>
          </w:p>
        </w:tc>
      </w:tr>
      <w:tr>
        <w:tc>
          <w:tcPr>
            <w:tcW w:type="dxa" w:w="3500"/>
            <w:tcMar>
              <w:top w:type="dxa" w:w="100"/>
              <w:left w:type="dxa" w:w="120"/>
              <w:bottom w:type="dxa" w:w="100"/>
              <w:right w:type="dxa" w:w="120"/>
            </w:tcMar>
          </w:tcPr>
          <w:p>
            <w:r>
              <w:rPr>
                <w:b w:val="false"/>
                <w:bCs w:val="false"/>
                <w:color w:val="1a1a1a"/>
                <w:sz w:val="20"/>
                <w:szCs w:val="20"/>
              </w:rPr>
              <w:t xml:space="preserve">Model output truncation mid-format</w:t>
            </w:r>
          </w:p>
        </w:tc>
        <w:tc>
          <w:tcPr>
            <w:tcW w:type="dxa" w:w="5850"/>
            <w:tcMar>
              <w:top w:type="dxa" w:w="100"/>
              <w:left w:type="dxa" w:w="120"/>
              <w:bottom w:type="dxa" w:w="100"/>
              <w:right w:type="dxa" w:w="120"/>
            </w:tcMar>
          </w:tcPr>
          <w:p>
            <w:r>
              <w:rPr>
                <w:b w:val="false"/>
                <w:bCs w:val="false"/>
                <w:color w:val="1a1a1a"/>
                <w:sz w:val="20"/>
                <w:szCs w:val="20"/>
              </w:rPr>
              <w:t xml:space="preserve">Increased max token allocation; frontend safety-net strips any unmatched formatting markers</w:t>
            </w:r>
          </w:p>
        </w:tc>
      </w:tr>
      <w:tr>
        <w:tc>
          <w:tcPr>
            <w:tcW w:type="dxa" w:w="3500"/>
            <w:tcMar>
              <w:top w:type="dxa" w:w="100"/>
              <w:left w:type="dxa" w:w="120"/>
              <w:bottom w:type="dxa" w:w="100"/>
              <w:right w:type="dxa" w:w="120"/>
            </w:tcMar>
          </w:tcPr>
          <w:p>
            <w:r>
              <w:rPr>
                <w:b w:val="false"/>
                <w:bCs w:val="false"/>
                <w:color w:val="1a1a1a"/>
                <w:sz w:val="20"/>
                <w:szCs w:val="20"/>
              </w:rPr>
              <w:t xml:space="preserve">API key exposure</w:t>
            </w:r>
          </w:p>
        </w:tc>
        <w:tc>
          <w:tcPr>
            <w:tcW w:type="dxa" w:w="5850"/>
            <w:tcMar>
              <w:top w:type="dxa" w:w="100"/>
              <w:left w:type="dxa" w:w="120"/>
              <w:bottom w:type="dxa" w:w="100"/>
              <w:right w:type="dxa" w:w="120"/>
            </w:tcMar>
          </w:tcPr>
          <w:p>
            <w:r>
              <w:rPr>
                <w:b w:val="false"/>
                <w:bCs w:val="false"/>
                <w:color w:val="1a1a1a"/>
                <w:sz w:val="20"/>
                <w:szCs w:val="20"/>
              </w:rPr>
              <w:t xml:space="preserve">Environment-variable based configuration with .gitignore enforcement</w:t>
            </w:r>
          </w:p>
        </w:tc>
      </w:tr>
      <w:tr>
        <w:tc>
          <w:tcPr>
            <w:tcW w:type="dxa" w:w="3500"/>
            <w:tcMar>
              <w:top w:type="dxa" w:w="100"/>
              <w:left w:type="dxa" w:w="120"/>
              <w:bottom w:type="dxa" w:w="100"/>
              <w:right w:type="dxa" w:w="120"/>
            </w:tcMar>
          </w:tcPr>
          <w:p>
            <w:r>
              <w:rPr>
                <w:b w:val="false"/>
                <w:bCs w:val="false"/>
                <w:color w:val="1a1a1a"/>
                <w:sz w:val="20"/>
                <w:szCs w:val="20"/>
              </w:rPr>
              <w:t xml:space="preserve">Stale or incorrect date reasoning in generated content</w:t>
            </w:r>
          </w:p>
        </w:tc>
        <w:tc>
          <w:tcPr>
            <w:tcW w:type="dxa" w:w="5850"/>
            <w:tcMar>
              <w:top w:type="dxa" w:w="100"/>
              <w:left w:type="dxa" w:w="120"/>
              <w:bottom w:type="dxa" w:w="100"/>
              <w:right w:type="dxa" w:w="120"/>
            </w:tcMar>
          </w:tcPr>
          <w:p>
            <w:r>
              <w:rPr>
                <w:b w:val="false"/>
                <w:bCs w:val="false"/>
                <w:color w:val="1a1a1a"/>
                <w:sz w:val="20"/>
                <w:szCs w:val="20"/>
              </w:rPr>
              <w:t xml:space="preserve">Current date injected into task context at runtime</w:t>
            </w:r>
          </w:p>
        </w:tc>
      </w:tr>
      <w:tr>
        <w:tc>
          <w:tcPr>
            <w:tcW w:type="dxa" w:w="3500"/>
            <w:tcMar>
              <w:top w:type="dxa" w:w="100"/>
              <w:left w:type="dxa" w:w="120"/>
              <w:bottom w:type="dxa" w:w="100"/>
              <w:right w:type="dxa" w:w="120"/>
            </w:tcMar>
          </w:tcPr>
          <w:p>
            <w:r>
              <w:rPr>
                <w:b w:val="false"/>
                <w:bCs w:val="false"/>
                <w:color w:val="1a1a1a"/>
                <w:sz w:val="20"/>
                <w:szCs w:val="20"/>
              </w:rPr>
              <w:t xml:space="preserve">Regional API endpoint mismatch</w:t>
            </w:r>
          </w:p>
        </w:tc>
        <w:tc>
          <w:tcPr>
            <w:tcW w:type="dxa" w:w="5850"/>
            <w:tcMar>
              <w:top w:type="dxa" w:w="100"/>
              <w:left w:type="dxa" w:w="120"/>
              <w:bottom w:type="dxa" w:w="100"/>
              <w:right w:type="dxa" w:w="120"/>
            </w:tcMar>
          </w:tcPr>
          <w:p>
            <w:r>
              <w:rPr>
                <w:b w:val="false"/>
                <w:bCs w:val="false"/>
                <w:color w:val="1a1a1a"/>
                <w:sz w:val="20"/>
                <w:szCs w:val="20"/>
              </w:rPr>
              <w:t xml:space="preserve">Verified use of the international DashScope endpoint for Qwen Cloud accounts</w:t>
            </w:r>
          </w:p>
        </w:tc>
      </w:tr>
    </w:tbl>
    <w:p>
      <w:pPr>
        <w:pStyle w:val="Heading1"/>
        <w:spacing w:after="180" w:before="360"/>
      </w:pPr>
      <w:r>
        <w:rPr>
          <w:b/>
          <w:bCs/>
          <w:color w:val="1F2A44"/>
          <w:sz w:val="30"/>
          <w:szCs w:val="30"/>
        </w:rPr>
        <w:t xml:space="preserve">10. Future Roadmap</w:t>
      </w:r>
    </w:p>
    <w:p>
      <w:pPr>
        <w:pStyle w:val="ListParagraph"/>
        <w:numPr>
          <w:ilvl w:val="0"/>
          <w:numId w:val="2"/>
        </w:numPr>
        <w:spacing w:after="80"/>
      </w:pPr>
      <w:r>
        <w:rPr>
          <w:sz w:val="22"/>
          <w:szCs w:val="22"/>
        </w:rPr>
        <w:t xml:space="preserve">Live web search integration for the Researcher agent via MCP tooling.</w:t>
      </w:r>
    </w:p>
    <w:p>
      <w:pPr>
        <w:pStyle w:val="ListParagraph"/>
        <w:numPr>
          <w:ilvl w:val="0"/>
          <w:numId w:val="2"/>
        </w:numPr>
        <w:spacing w:after="80"/>
      </w:pPr>
      <w:r>
        <w:rPr>
          <w:sz w:val="22"/>
          <w:szCs w:val="22"/>
        </w:rPr>
        <w:t xml:space="preserve">Persistent vector memory across sessions for long-term learning.</w:t>
      </w:r>
    </w:p>
    <w:p>
      <w:pPr>
        <w:pStyle w:val="ListParagraph"/>
        <w:numPr>
          <w:ilvl w:val="0"/>
          <w:numId w:val="2"/>
        </w:numPr>
        <w:spacing w:after="80"/>
      </w:pPr>
      <w:r>
        <w:rPr>
          <w:sz w:val="22"/>
          <w:szCs w:val="22"/>
        </w:rPr>
        <w:t xml:space="preserve">User-configurable custom agent roles for domain-specific use cases.</w:t>
      </w:r>
    </w:p>
    <w:p>
      <w:pPr>
        <w:pStyle w:val="ListParagraph"/>
        <w:numPr>
          <w:ilvl w:val="0"/>
          <w:numId w:val="2"/>
        </w:numPr>
        <w:spacing w:after="80"/>
      </w:pPr>
      <w:r>
        <w:rPr>
          <w:sz w:val="22"/>
          <w:szCs w:val="22"/>
        </w:rPr>
        <w:t xml:space="preserve">Parallel task chaining for handling multiple sub-tasks concurrently.</w:t>
      </w:r>
    </w:p>
    <w:p>
      <w:pPr>
        <w:pStyle w:val="ListParagraph"/>
        <w:numPr>
          <w:ilvl w:val="0"/>
          <w:numId w:val="2"/>
        </w:numPr>
        <w:spacing w:after="80"/>
      </w:pPr>
      <w:r>
        <w:rPr>
          <w:sz w:val="22"/>
          <w:szCs w:val="22"/>
        </w:rPr>
        <w:t xml:space="preserve">Pre-configured domain-specific agent societies (legal, medical, marketing).</w:t>
      </w:r>
    </w:p>
    <w:p>
      <w:pPr>
        <w:pStyle w:val="Heading1"/>
        <w:spacing w:after="180" w:before="360"/>
      </w:pPr>
      <w:r>
        <w:rPr>
          <w:b/>
          <w:bCs/>
          <w:color w:val="1F2A44"/>
          <w:sz w:val="30"/>
          <w:szCs w:val="30"/>
        </w:rPr>
        <w:t xml:space="preserve">11. Appendix</w:t>
      </w:r>
    </w:p>
    <w:p>
      <w:pPr>
        <w:spacing w:after="140" w:line="300"/>
      </w:pPr>
      <w:r>
        <w:rPr>
          <w:b/>
          <w:bCs/>
          <w:color w:val="1a1a1a"/>
          <w:sz w:val="22"/>
          <w:szCs w:val="22"/>
        </w:rPr>
        <w:t xml:space="preserve">Repository: https://github.com/snwali091-sys/Agent-society</w:t>
      </w:r>
    </w:p>
    <w:p>
      <w:pPr>
        <w:spacing w:after="140" w:line="300"/>
      </w:pPr>
      <w:r>
        <w:rPr>
          <w:color w:val="1a1a1a"/>
          <w:sz w:val="22"/>
          <w:szCs w:val="22"/>
        </w:rPr>
        <w:t xml:space="preserve">License: MIT</w:t>
      </w:r>
    </w:p>
    <w:p>
      <w:pPr>
        <w:spacing w:after="140" w:line="300"/>
      </w:pPr>
      <w:r>
        <w:rPr>
          <w:color w:val="1a1a1a"/>
          <w:sz w:val="22"/>
          <w:szCs w:val="22"/>
        </w:rPr>
        <w:t xml:space="preserve">Track: Track 3 — Agent Society, Global AI Hackathon Series with Qwen Cloud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2026-07-09T20:04:40.300Z</dcterms:created>
  <dcterms:modified xsi:type="dcterms:W3CDTF">2026-07-09T20:04:40.300Z</dcterms:modified>
</cp:coreProperties>
</file>

<file path=docProps/custom.xml><?xml version="1.0" encoding="utf-8"?>
<Properties xmlns="http://schemas.openxmlformats.org/officeDocument/2006/custom-properties" xmlns:vt="http://schemas.openxmlformats.org/officeDocument/2006/docPropsVTypes"/>
</file>