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0.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b/>
          <w:color w:val="2F4A34"/>
          <w:sz w:val="32"/>
        </w:rPr>
        <w:t>INSTITUTO SUPERIOR UNIVERSITARIO JAPÓN</w:t>
      </w:r>
    </w:p>
    <w:p>
      <w:pPr>
        <w:spacing w:after="720"/>
        <w:jc w:val="center"/>
      </w:pPr>
      <w:r>
        <w:rPr>
          <w:rFonts w:ascii="Times New Roman" w:hAnsi="Times New Roman"/>
          <w:color w:val="475569"/>
          <w:sz w:val="24"/>
        </w:rPr>
        <w:t>CARRERA DE TECNOLOGÍA SUPERIOR EN DESARROLLO DE SOFTWARE</w:t>
        <w:br/>
        <w:t>UNIDAD 3: GESTIÓN DE PORTALES WEB EMPRESARIALES</w:t>
      </w:r>
    </w:p>
    <w:p>
      <w:pPr>
        <w:spacing w:after="360"/>
        <w:jc w:val="center"/>
      </w:pPr>
      <w:r>
        <w:rPr>
          <w:rFonts w:ascii="Times New Roman" w:hAnsi="Times New Roman"/>
          <w:b/>
          <w:color w:val="2F4A34"/>
          <w:sz w:val="36"/>
        </w:rPr>
        <w:t>PROYECTO FINAL - CASO PRÁCTICO 1 U3</w:t>
        <w:br/>
        <w:t>PORTAL EMPRESARIAL CORPORATIVO MULTICAPA:</w:t>
        <w:br/>
        <w:t>LUSH NAILS SPA S.A.</w:t>
      </w:r>
    </w:p>
    <w:p>
      <w:pPr>
        <w:spacing w:after="960"/>
        <w:jc w:val="center"/>
      </w:pPr>
      <w:r>
        <w:rPr>
          <w:rFonts w:ascii="Times New Roman" w:hAnsi="Times New Roman"/>
          <w:i/>
          <w:color w:val="64748B"/>
          <w:sz w:val="24"/>
        </w:rPr>
        <w:t>Integración de Portal B2C de Clientes con Accesibilidad WCAG 2.1 AA, Intranet B2E con Balanced Scorecard y Base de Datos PostgreSQL en Neon Cloud</w:t>
      </w:r>
    </w:p>
    <w:p>
      <w:pPr>
        <w:spacing w:line="312" w:lineRule="auto"/>
        <w:jc w:val="center"/>
      </w:pPr>
      <w:r>
        <w:rPr>
          <w:rFonts w:ascii="Times New Roman" w:hAnsi="Times New Roman"/>
          <w:color w:val="475569"/>
          <w:sz w:val="22"/>
        </w:rPr>
        <w:t>Autor / Estudiante:</w:t>
        <w:br/>
      </w:r>
      <w:r>
        <w:rPr>
          <w:rFonts w:ascii="Times New Roman" w:hAnsi="Times New Roman"/>
          <w:b/>
          <w:color w:val="2F4A34"/>
          <w:sz w:val="26"/>
        </w:rPr>
        <w:t>Stalyn Mateo Sánchez Cevallos</w:t>
        <w:br/>
        <w:br/>
      </w:r>
      <w:r>
        <w:rPr>
          <w:rFonts w:ascii="Times New Roman" w:hAnsi="Times New Roman"/>
          <w:color w:val="334155"/>
          <w:sz w:val="22"/>
        </w:rPr>
        <w:t>Nivel Académico: 4.° Nivel - Paralelo B</w:t>
        <w:br/>
        <w:t>Asignatura: Portales Web Empresariales</w:t>
        <w:br/>
        <w:t>Docente Tutor: Mgs. Carlos Morales</w:t>
        <w:br/>
        <w:t>Fecha de Entrega: 15 de Septiembre de 2026</w:t>
        <w:br/>
        <w:t>Quito - Ecuador</w:t>
      </w:r>
    </w:p>
    <w:p>
      <w:r>
        <w:br w:type="page"/>
      </w:r>
    </w:p>
    <w:p>
      <w:pPr>
        <w:spacing w:before="240" w:after="280"/>
        <w:jc w:val="center"/>
      </w:pPr>
      <w:r>
        <w:rPr>
          <w:rFonts w:ascii="Times New Roman" w:hAnsi="Times New Roman"/>
          <w:b/>
          <w:color w:val="2F4A34"/>
          <w:sz w:val="32"/>
        </w:rPr>
        <w:t>ÍNDICE GENERAL</w:t>
      </w:r>
    </w:p>
    <w:p>
      <w:pPr>
        <w:spacing w:before="80" w:after="120"/>
      </w:pPr>
      <w:r>
        <w:rPr>
          <w:rFonts w:ascii="Times New Roman" w:hAnsi="Times New Roman"/>
          <w:b/>
          <w:color w:val="475569"/>
          <w:sz w:val="23"/>
        </w:rPr>
        <w:t>CONTENIDO TEMÁTICO</w:t>
      </w:r>
    </w:p>
    <w:p>
      <w:pPr>
        <w:spacing w:line="276" w:lineRule="auto" w:after="40" w:before="30"/>
        <w:ind w:left="0"/>
        <w:tabs>
          <w:tab w:val="right" w:leader="dot" w:pos="9360"/>
        </w:tabs>
      </w:pPr>
      <w:r>
        <w:rPr>
          <w:rFonts w:ascii="Times New Roman" w:hAnsi="Times New Roman"/>
          <w:b/>
          <w:color w:val="2F4A34"/>
          <w:sz w:val="22"/>
        </w:rPr>
        <w:t>Ficha Técnica del Sistema Desplegado en Producción</w:t>
      </w:r>
      <w:r>
        <w:rPr>
          <w:rFonts w:ascii="Times New Roman" w:hAnsi="Times New Roman"/>
        </w:rPr>
        <w:tab/>
      </w:r>
      <w:r>
        <w:rPr>
          <w:rFonts w:ascii="Times New Roman" w:hAnsi="Times New Roman"/>
          <w:b/>
          <w:color w:val="2F4A34"/>
          <w:sz w:val="22"/>
        </w:rPr>
        <w:t>3</w:t>
      </w:r>
    </w:p>
    <w:p>
      <w:pPr>
        <w:spacing w:line="276" w:lineRule="auto" w:after="40" w:before="30"/>
        <w:ind w:left="0"/>
        <w:tabs>
          <w:tab w:val="right" w:leader="dot" w:pos="9360"/>
        </w:tabs>
      </w:pPr>
      <w:r>
        <w:rPr>
          <w:rFonts w:ascii="Times New Roman" w:hAnsi="Times New Roman"/>
          <w:b/>
          <w:color w:val="2F4A34"/>
          <w:sz w:val="22"/>
        </w:rPr>
        <w:t>1. Introducción y Justificación Empresarial</w:t>
      </w:r>
      <w:r>
        <w:rPr>
          <w:rFonts w:ascii="Times New Roman" w:hAnsi="Times New Roman"/>
        </w:rPr>
        <w:tab/>
      </w:r>
      <w:r>
        <w:rPr>
          <w:rFonts w:ascii="Times New Roman" w:hAnsi="Times New Roman"/>
          <w:b/>
          <w:color w:val="2F4A34"/>
          <w:sz w:val="22"/>
        </w:rPr>
        <w:t>3</w:t>
      </w:r>
    </w:p>
    <w:p>
      <w:pPr>
        <w:spacing w:line="276" w:lineRule="auto" w:after="40" w:before="30"/>
        <w:ind w:left="360"/>
        <w:tabs>
          <w:tab w:val="right" w:leader="dot" w:pos="9360"/>
        </w:tabs>
      </w:pPr>
      <w:r>
        <w:rPr>
          <w:rFonts w:ascii="Times New Roman" w:hAnsi="Times New Roman"/>
          <w:color w:val="1E293B"/>
          <w:sz w:val="20"/>
        </w:rPr>
        <w:t>1.1. Contexto Organizacional y Planteamiento del Problema</w:t>
      </w:r>
      <w:r>
        <w:rPr>
          <w:rFonts w:ascii="Times New Roman" w:hAnsi="Times New Roman"/>
        </w:rPr>
        <w:tab/>
      </w:r>
      <w:r>
        <w:rPr>
          <w:rFonts w:ascii="Times New Roman" w:hAnsi="Times New Roman"/>
          <w:color w:val="334155"/>
          <w:sz w:val="20"/>
        </w:rPr>
        <w:t>3</w:t>
      </w:r>
    </w:p>
    <w:p>
      <w:pPr>
        <w:spacing w:line="276" w:lineRule="auto" w:after="40" w:before="30"/>
        <w:ind w:left="360"/>
        <w:tabs>
          <w:tab w:val="right" w:leader="dot" w:pos="9360"/>
        </w:tabs>
      </w:pPr>
      <w:r>
        <w:rPr>
          <w:rFonts w:ascii="Times New Roman" w:hAnsi="Times New Roman"/>
          <w:color w:val="1E293B"/>
          <w:sz w:val="20"/>
        </w:rPr>
        <w:t>1.2. Objetivos del Proyecto (General y Específicos)</w:t>
      </w:r>
      <w:r>
        <w:rPr>
          <w:rFonts w:ascii="Times New Roman" w:hAnsi="Times New Roman"/>
        </w:rPr>
        <w:tab/>
      </w:r>
      <w:r>
        <w:rPr>
          <w:rFonts w:ascii="Times New Roman" w:hAnsi="Times New Roman"/>
          <w:color w:val="334155"/>
          <w:sz w:val="20"/>
        </w:rPr>
        <w:t>3</w:t>
      </w:r>
    </w:p>
    <w:p>
      <w:pPr>
        <w:spacing w:line="276" w:lineRule="auto" w:after="40" w:before="30"/>
        <w:ind w:left="0"/>
        <w:tabs>
          <w:tab w:val="right" w:leader="dot" w:pos="9360"/>
        </w:tabs>
      </w:pPr>
      <w:r>
        <w:rPr>
          <w:rFonts w:ascii="Times New Roman" w:hAnsi="Times New Roman"/>
          <w:b/>
          <w:color w:val="2F4A34"/>
          <w:sz w:val="22"/>
        </w:rPr>
        <w:t>2. Arquitectura de Software y Modelo Multicapa</w:t>
      </w:r>
      <w:r>
        <w:rPr>
          <w:rFonts w:ascii="Times New Roman" w:hAnsi="Times New Roman"/>
        </w:rPr>
        <w:tab/>
      </w:r>
      <w:r>
        <w:rPr>
          <w:rFonts w:ascii="Times New Roman" w:hAnsi="Times New Roman"/>
          <w:b/>
          <w:color w:val="2F4A34"/>
          <w:sz w:val="22"/>
        </w:rPr>
        <w:t>4</w:t>
      </w:r>
    </w:p>
    <w:p>
      <w:pPr>
        <w:spacing w:line="276" w:lineRule="auto" w:after="40" w:before="30"/>
        <w:ind w:left="360"/>
        <w:tabs>
          <w:tab w:val="right" w:leader="dot" w:pos="9360"/>
        </w:tabs>
      </w:pPr>
      <w:r>
        <w:rPr>
          <w:rFonts w:ascii="Times New Roman" w:hAnsi="Times New Roman"/>
          <w:color w:val="1E293B"/>
          <w:sz w:val="20"/>
        </w:rPr>
        <w:t>2.1. Arquitectura de Accesibilidad Universal (WCAG 2.1 AA)</w:t>
      </w:r>
      <w:r>
        <w:rPr>
          <w:rFonts w:ascii="Times New Roman" w:hAnsi="Times New Roman"/>
        </w:rPr>
        <w:tab/>
      </w:r>
      <w:r>
        <w:rPr>
          <w:rFonts w:ascii="Times New Roman" w:hAnsi="Times New Roman"/>
          <w:color w:val="334155"/>
          <w:sz w:val="20"/>
        </w:rPr>
        <w:t>5</w:t>
      </w:r>
    </w:p>
    <w:p>
      <w:pPr>
        <w:spacing w:line="276" w:lineRule="auto" w:after="40" w:before="30"/>
        <w:ind w:left="360"/>
        <w:tabs>
          <w:tab w:val="right" w:leader="dot" w:pos="9360"/>
        </w:tabs>
      </w:pPr>
      <w:r>
        <w:rPr>
          <w:rFonts w:ascii="Times New Roman" w:hAnsi="Times New Roman"/>
          <w:color w:val="1E293B"/>
          <w:sz w:val="20"/>
        </w:rPr>
        <w:t>2.2. Modelo Multicapa: Presentación, Lógica de Negocio y Datos</w:t>
      </w:r>
      <w:r>
        <w:rPr>
          <w:rFonts w:ascii="Times New Roman" w:hAnsi="Times New Roman"/>
        </w:rPr>
        <w:tab/>
      </w:r>
      <w:r>
        <w:rPr>
          <w:rFonts w:ascii="Times New Roman" w:hAnsi="Times New Roman"/>
          <w:color w:val="334155"/>
          <w:sz w:val="20"/>
        </w:rPr>
        <w:t>5</w:t>
      </w:r>
    </w:p>
    <w:p>
      <w:pPr>
        <w:spacing w:line="276" w:lineRule="auto" w:after="40" w:before="30"/>
        <w:ind w:left="0"/>
        <w:tabs>
          <w:tab w:val="right" w:leader="dot" w:pos="9360"/>
        </w:tabs>
      </w:pPr>
      <w:r>
        <w:rPr>
          <w:rFonts w:ascii="Times New Roman" w:hAnsi="Times New Roman"/>
          <w:b/>
          <w:color w:val="2F4A34"/>
          <w:sz w:val="22"/>
        </w:rPr>
        <w:t>3. Portal Web Público B2C: Experiencia del Cliente</w:t>
      </w:r>
      <w:r>
        <w:rPr>
          <w:rFonts w:ascii="Times New Roman" w:hAnsi="Times New Roman"/>
        </w:rPr>
        <w:tab/>
      </w:r>
      <w:r>
        <w:rPr>
          <w:rFonts w:ascii="Times New Roman" w:hAnsi="Times New Roman"/>
          <w:b/>
          <w:color w:val="2F4A34"/>
          <w:sz w:val="22"/>
        </w:rPr>
        <w:t>5</w:t>
      </w:r>
    </w:p>
    <w:p>
      <w:pPr>
        <w:spacing w:line="276" w:lineRule="auto" w:after="40" w:before="30"/>
        <w:ind w:left="360"/>
        <w:tabs>
          <w:tab w:val="right" w:leader="dot" w:pos="9360"/>
        </w:tabs>
      </w:pPr>
      <w:r>
        <w:rPr>
          <w:rFonts w:ascii="Times New Roman" w:hAnsi="Times New Roman"/>
          <w:color w:val="1E293B"/>
          <w:sz w:val="20"/>
        </w:rPr>
        <w:t>3.1. Catálogo Interactivo de Servicios y Portafolio Visual</w:t>
      </w:r>
      <w:r>
        <w:rPr>
          <w:rFonts w:ascii="Times New Roman" w:hAnsi="Times New Roman"/>
        </w:rPr>
        <w:tab/>
      </w:r>
      <w:r>
        <w:rPr>
          <w:rFonts w:ascii="Times New Roman" w:hAnsi="Times New Roman"/>
          <w:color w:val="334155"/>
          <w:sz w:val="20"/>
        </w:rPr>
        <w:t>6</w:t>
      </w:r>
    </w:p>
    <w:p>
      <w:pPr>
        <w:spacing w:line="276" w:lineRule="auto" w:after="40" w:before="30"/>
        <w:ind w:left="360"/>
        <w:tabs>
          <w:tab w:val="right" w:leader="dot" w:pos="9360"/>
        </w:tabs>
      </w:pPr>
      <w:r>
        <w:rPr>
          <w:rFonts w:ascii="Times New Roman" w:hAnsi="Times New Roman"/>
          <w:color w:val="1E293B"/>
          <w:sz w:val="20"/>
        </w:rPr>
        <w:t>3.2. Módulo de Reserva y Agendamiento en Tiempo Real</w:t>
      </w:r>
      <w:r>
        <w:rPr>
          <w:rFonts w:ascii="Times New Roman" w:hAnsi="Times New Roman"/>
        </w:rPr>
        <w:tab/>
      </w:r>
      <w:r>
        <w:rPr>
          <w:rFonts w:ascii="Times New Roman" w:hAnsi="Times New Roman"/>
          <w:color w:val="334155"/>
          <w:sz w:val="20"/>
        </w:rPr>
        <w:t>7</w:t>
      </w:r>
    </w:p>
    <w:p>
      <w:pPr>
        <w:spacing w:line="276" w:lineRule="auto" w:after="40" w:before="30"/>
        <w:ind w:left="360"/>
        <w:tabs>
          <w:tab w:val="right" w:leader="dot" w:pos="9360"/>
        </w:tabs>
      </w:pPr>
      <w:r>
        <w:rPr>
          <w:rFonts w:ascii="Times New Roman" w:hAnsi="Times New Roman"/>
          <w:color w:val="1E293B"/>
          <w:sz w:val="20"/>
        </w:rPr>
        <w:t>3.3. Herramientas de Accesibilidad e Inclusión Digital</w:t>
      </w:r>
      <w:r>
        <w:rPr>
          <w:rFonts w:ascii="Times New Roman" w:hAnsi="Times New Roman"/>
        </w:rPr>
        <w:tab/>
      </w:r>
      <w:r>
        <w:rPr>
          <w:rFonts w:ascii="Times New Roman" w:hAnsi="Times New Roman"/>
          <w:color w:val="334155"/>
          <w:sz w:val="20"/>
        </w:rPr>
        <w:t>8</w:t>
      </w:r>
    </w:p>
    <w:p>
      <w:pPr>
        <w:spacing w:line="276" w:lineRule="auto" w:after="40" w:before="30"/>
        <w:ind w:left="0"/>
        <w:tabs>
          <w:tab w:val="right" w:leader="dot" w:pos="9360"/>
        </w:tabs>
      </w:pPr>
      <w:r>
        <w:rPr>
          <w:rFonts w:ascii="Times New Roman" w:hAnsi="Times New Roman"/>
          <w:b/>
          <w:color w:val="2F4A34"/>
          <w:sz w:val="22"/>
        </w:rPr>
        <w:t>4. Intranet Corporativa B2E: Gestión Operativa y Balanced Scorecard</w:t>
      </w:r>
      <w:r>
        <w:rPr>
          <w:rFonts w:ascii="Times New Roman" w:hAnsi="Times New Roman"/>
        </w:rPr>
        <w:tab/>
      </w:r>
      <w:r>
        <w:rPr>
          <w:rFonts w:ascii="Times New Roman" w:hAnsi="Times New Roman"/>
          <w:b/>
          <w:color w:val="2F4A34"/>
          <w:sz w:val="22"/>
        </w:rPr>
        <w:t>9</w:t>
      </w:r>
    </w:p>
    <w:p>
      <w:pPr>
        <w:spacing w:line="276" w:lineRule="auto" w:after="40" w:before="30"/>
        <w:ind w:left="360"/>
        <w:tabs>
          <w:tab w:val="right" w:leader="dot" w:pos="9360"/>
        </w:tabs>
      </w:pPr>
      <w:r>
        <w:rPr>
          <w:rFonts w:ascii="Times New Roman" w:hAnsi="Times New Roman"/>
          <w:color w:val="1E293B"/>
          <w:sz w:val="20"/>
        </w:rPr>
        <w:t>4.1. Dashboard Integral y Cuadro de Mando Integral (BSC)</w:t>
      </w:r>
      <w:r>
        <w:rPr>
          <w:rFonts w:ascii="Times New Roman" w:hAnsi="Times New Roman"/>
        </w:rPr>
        <w:tab/>
      </w:r>
      <w:r>
        <w:rPr>
          <w:rFonts w:ascii="Times New Roman" w:hAnsi="Times New Roman"/>
          <w:color w:val="334155"/>
          <w:sz w:val="20"/>
        </w:rPr>
        <w:t>10</w:t>
      </w:r>
    </w:p>
    <w:p>
      <w:pPr>
        <w:spacing w:line="276" w:lineRule="auto" w:after="40" w:before="30"/>
        <w:ind w:left="360"/>
        <w:tabs>
          <w:tab w:val="right" w:leader="dot" w:pos="9360"/>
        </w:tabs>
      </w:pPr>
      <w:r>
        <w:rPr>
          <w:rFonts w:ascii="Times New Roman" w:hAnsi="Times New Roman"/>
          <w:color w:val="1E293B"/>
          <w:sz w:val="20"/>
        </w:rPr>
        <w:t>4.2. Matriz de Empleados, Horarios y Operación de Citas</w:t>
      </w:r>
      <w:r>
        <w:rPr>
          <w:rFonts w:ascii="Times New Roman" w:hAnsi="Times New Roman"/>
        </w:rPr>
        <w:tab/>
      </w:r>
      <w:r>
        <w:rPr>
          <w:rFonts w:ascii="Times New Roman" w:hAnsi="Times New Roman"/>
          <w:color w:val="334155"/>
          <w:sz w:val="20"/>
        </w:rPr>
        <w:t>12</w:t>
      </w:r>
    </w:p>
    <w:p>
      <w:pPr>
        <w:spacing w:line="276" w:lineRule="auto" w:after="40" w:before="30"/>
        <w:ind w:left="360"/>
        <w:tabs>
          <w:tab w:val="right" w:leader="dot" w:pos="9360"/>
        </w:tabs>
      </w:pPr>
      <w:r>
        <w:rPr>
          <w:rFonts w:ascii="Times New Roman" w:hAnsi="Times New Roman"/>
          <w:color w:val="1E293B"/>
          <w:sz w:val="20"/>
        </w:rPr>
        <w:t>4.3. Módulos de Proveedores, Aliados y Postulaciones</w:t>
      </w:r>
      <w:r>
        <w:rPr>
          <w:rFonts w:ascii="Times New Roman" w:hAnsi="Times New Roman"/>
        </w:rPr>
        <w:tab/>
      </w:r>
      <w:r>
        <w:rPr>
          <w:rFonts w:ascii="Times New Roman" w:hAnsi="Times New Roman"/>
          <w:color w:val="334155"/>
          <w:sz w:val="20"/>
        </w:rPr>
        <w:t>14</w:t>
      </w:r>
    </w:p>
    <w:p>
      <w:pPr>
        <w:spacing w:line="276" w:lineRule="auto" w:after="40" w:before="30"/>
        <w:ind w:left="0"/>
        <w:tabs>
          <w:tab w:val="right" w:leader="dot" w:pos="9360"/>
        </w:tabs>
      </w:pPr>
      <w:r>
        <w:rPr>
          <w:rFonts w:ascii="Times New Roman" w:hAnsi="Times New Roman"/>
          <w:b/>
          <w:color w:val="2F4A34"/>
          <w:sz w:val="22"/>
        </w:rPr>
        <w:t>5. Modelo Relacional de Datos y Reglas de Negocio</w:t>
      </w:r>
      <w:r>
        <w:rPr>
          <w:rFonts w:ascii="Times New Roman" w:hAnsi="Times New Roman"/>
        </w:rPr>
        <w:tab/>
      </w:r>
      <w:r>
        <w:rPr>
          <w:rFonts w:ascii="Times New Roman" w:hAnsi="Times New Roman"/>
          <w:b/>
          <w:color w:val="2F4A34"/>
          <w:sz w:val="22"/>
        </w:rPr>
        <w:t>17</w:t>
      </w:r>
    </w:p>
    <w:p>
      <w:pPr>
        <w:spacing w:line="276" w:lineRule="auto" w:after="40" w:before="30"/>
        <w:ind w:left="360"/>
        <w:tabs>
          <w:tab w:val="right" w:leader="dot" w:pos="9360"/>
        </w:tabs>
      </w:pPr>
      <w:r>
        <w:rPr>
          <w:rFonts w:ascii="Times New Roman" w:hAnsi="Times New Roman"/>
          <w:color w:val="1E293B"/>
          <w:sz w:val="20"/>
        </w:rPr>
        <w:t>5.1. Diccionario de Datos y Arquitectura de 19 Tablas</w:t>
      </w:r>
      <w:r>
        <w:rPr>
          <w:rFonts w:ascii="Times New Roman" w:hAnsi="Times New Roman"/>
        </w:rPr>
        <w:tab/>
      </w:r>
      <w:r>
        <w:rPr>
          <w:rFonts w:ascii="Times New Roman" w:hAnsi="Times New Roman"/>
          <w:color w:val="334155"/>
          <w:sz w:val="20"/>
        </w:rPr>
        <w:t>17</w:t>
      </w:r>
    </w:p>
    <w:p>
      <w:pPr>
        <w:spacing w:line="276" w:lineRule="auto" w:after="40" w:before="30"/>
        <w:ind w:left="360"/>
        <w:tabs>
          <w:tab w:val="right" w:leader="dot" w:pos="9360"/>
        </w:tabs>
      </w:pPr>
      <w:r>
        <w:rPr>
          <w:rFonts w:ascii="Times New Roman" w:hAnsi="Times New Roman"/>
          <w:color w:val="1E293B"/>
          <w:sz w:val="20"/>
        </w:rPr>
        <w:t>5.2. Seguridad, Hash Bcrypt y Control de Acceso RBAC</w:t>
      </w:r>
      <w:r>
        <w:rPr>
          <w:rFonts w:ascii="Times New Roman" w:hAnsi="Times New Roman"/>
        </w:rPr>
        <w:tab/>
      </w:r>
      <w:r>
        <w:rPr>
          <w:rFonts w:ascii="Times New Roman" w:hAnsi="Times New Roman"/>
          <w:color w:val="334155"/>
          <w:sz w:val="20"/>
        </w:rPr>
        <w:t>17</w:t>
      </w:r>
    </w:p>
    <w:p>
      <w:pPr>
        <w:spacing w:line="276" w:lineRule="auto" w:after="40" w:before="30"/>
        <w:ind w:left="0"/>
        <w:tabs>
          <w:tab w:val="right" w:leader="dot" w:pos="9360"/>
        </w:tabs>
      </w:pPr>
      <w:r>
        <w:rPr>
          <w:rFonts w:ascii="Times New Roman" w:hAnsi="Times New Roman"/>
          <w:b/>
          <w:color w:val="2F4A34"/>
          <w:sz w:val="22"/>
        </w:rPr>
        <w:t>6. Planificación, Cronograma y Costos con ProjectLibre</w:t>
      </w:r>
      <w:r>
        <w:rPr>
          <w:rFonts w:ascii="Times New Roman" w:hAnsi="Times New Roman"/>
        </w:rPr>
        <w:tab/>
      </w:r>
      <w:r>
        <w:rPr>
          <w:rFonts w:ascii="Times New Roman" w:hAnsi="Times New Roman"/>
          <w:b/>
          <w:color w:val="2F4A34"/>
          <w:sz w:val="22"/>
        </w:rPr>
        <w:t>17</w:t>
      </w:r>
    </w:p>
    <w:p>
      <w:pPr>
        <w:spacing w:line="276" w:lineRule="auto" w:after="40" w:before="30"/>
        <w:ind w:left="360"/>
        <w:tabs>
          <w:tab w:val="right" w:leader="dot" w:pos="9360"/>
        </w:tabs>
      </w:pPr>
      <w:r>
        <w:rPr>
          <w:rFonts w:ascii="Times New Roman" w:hAnsi="Times New Roman"/>
          <w:color w:val="1E293B"/>
          <w:sz w:val="20"/>
        </w:rPr>
        <w:t>6.1. Estructura de Desglose del Trabajo (EDT / WBS)</w:t>
      </w:r>
      <w:r>
        <w:rPr>
          <w:rFonts w:ascii="Times New Roman" w:hAnsi="Times New Roman"/>
        </w:rPr>
        <w:tab/>
      </w:r>
      <w:r>
        <w:rPr>
          <w:rFonts w:ascii="Times New Roman" w:hAnsi="Times New Roman"/>
          <w:color w:val="334155"/>
          <w:sz w:val="20"/>
        </w:rPr>
        <w:t>18</w:t>
      </w:r>
    </w:p>
    <w:p>
      <w:pPr>
        <w:spacing w:line="276" w:lineRule="auto" w:after="40" w:before="30"/>
        <w:ind w:left="360"/>
        <w:tabs>
          <w:tab w:val="right" w:leader="dot" w:pos="9360"/>
        </w:tabs>
      </w:pPr>
      <w:r>
        <w:rPr>
          <w:rFonts w:ascii="Times New Roman" w:hAnsi="Times New Roman"/>
          <w:color w:val="1E293B"/>
          <w:sz w:val="20"/>
        </w:rPr>
        <w:t>6.2. Cronograma de Hitos, Ruta Crítica y Presupuesto</w:t>
      </w:r>
      <w:r>
        <w:rPr>
          <w:rFonts w:ascii="Times New Roman" w:hAnsi="Times New Roman"/>
        </w:rPr>
        <w:tab/>
      </w:r>
      <w:r>
        <w:rPr>
          <w:rFonts w:ascii="Times New Roman" w:hAnsi="Times New Roman"/>
          <w:color w:val="334155"/>
          <w:sz w:val="20"/>
        </w:rPr>
        <w:t>18</w:t>
      </w:r>
    </w:p>
    <w:p>
      <w:pPr>
        <w:spacing w:line="276" w:lineRule="auto" w:after="40" w:before="30"/>
        <w:ind w:left="0"/>
        <w:tabs>
          <w:tab w:val="right" w:leader="dot" w:pos="9360"/>
        </w:tabs>
      </w:pPr>
      <w:r>
        <w:rPr>
          <w:rFonts w:ascii="Times New Roman" w:hAnsi="Times New Roman"/>
          <w:b/>
          <w:color w:val="2F4A34"/>
          <w:sz w:val="22"/>
        </w:rPr>
        <w:t>7. Conclusiones y Recomendaciones</w:t>
      </w:r>
      <w:r>
        <w:rPr>
          <w:rFonts w:ascii="Times New Roman" w:hAnsi="Times New Roman"/>
        </w:rPr>
        <w:tab/>
      </w:r>
      <w:r>
        <w:rPr>
          <w:rFonts w:ascii="Times New Roman" w:hAnsi="Times New Roman"/>
          <w:b/>
          <w:color w:val="2F4A34"/>
          <w:sz w:val="22"/>
        </w:rPr>
        <w:t>19</w:t>
      </w:r>
    </w:p>
    <w:p>
      <w:pPr>
        <w:spacing w:line="276" w:lineRule="auto" w:after="40" w:before="30"/>
        <w:ind w:left="0"/>
        <w:tabs>
          <w:tab w:val="right" w:leader="dot" w:pos="9360"/>
        </w:tabs>
      </w:pPr>
      <w:r>
        <w:rPr>
          <w:rFonts w:ascii="Times New Roman" w:hAnsi="Times New Roman"/>
          <w:b/>
          <w:color w:val="2F4A34"/>
          <w:sz w:val="22"/>
        </w:rPr>
        <w:t>Referencias Bibliográficas (Normas APA 7)</w:t>
      </w:r>
      <w:r>
        <w:rPr>
          <w:rFonts w:ascii="Times New Roman" w:hAnsi="Times New Roman"/>
        </w:rPr>
        <w:tab/>
      </w:r>
      <w:r>
        <w:rPr>
          <w:rFonts w:ascii="Times New Roman" w:hAnsi="Times New Roman"/>
          <w:b/>
          <w:color w:val="2F4A34"/>
          <w:sz w:val="22"/>
        </w:rPr>
        <w:t>20</w:t>
      </w:r>
    </w:p>
    <w:p>
      <w:pPr>
        <w:spacing w:before="200" w:after="120"/>
      </w:pPr>
      <w:r>
        <w:rPr>
          <w:rFonts w:ascii="Times New Roman" w:hAnsi="Times New Roman"/>
          <w:b/>
          <w:color w:val="475569"/>
          <w:sz w:val="23"/>
        </w:rPr>
        <w:t>ÍNDICE DE TABLAS Y FIGURAS DESTACADAS</w:t>
      </w:r>
    </w:p>
    <w:p>
      <w:pPr>
        <w:spacing w:line="276" w:lineRule="auto" w:after="40" w:before="30"/>
        <w:ind w:left="0"/>
        <w:tabs>
          <w:tab w:val="right" w:leader="dot" w:pos="9360"/>
        </w:tabs>
      </w:pPr>
      <w:r>
        <w:rPr>
          <w:rFonts w:ascii="Times New Roman" w:hAnsi="Times New Roman"/>
          <w:b/>
          <w:color w:val="2F4A34"/>
          <w:sz w:val="22"/>
        </w:rPr>
        <w:t>Tabla 1. Especificaciones Técnicas del Sistema y Despliegue Cloud</w:t>
      </w:r>
      <w:r>
        <w:rPr>
          <w:rFonts w:ascii="Times New Roman" w:hAnsi="Times New Roman"/>
        </w:rPr>
        <w:tab/>
      </w:r>
      <w:r>
        <w:rPr>
          <w:rFonts w:ascii="Times New Roman" w:hAnsi="Times New Roman"/>
          <w:b/>
          <w:color w:val="2F4A34"/>
          <w:sz w:val="22"/>
        </w:rPr>
        <w:t>3</w:t>
      </w:r>
    </w:p>
    <w:p>
      <w:pPr>
        <w:spacing w:line="276" w:lineRule="auto" w:after="40" w:before="30"/>
        <w:ind w:left="0"/>
        <w:tabs>
          <w:tab w:val="right" w:leader="dot" w:pos="9360"/>
        </w:tabs>
      </w:pPr>
      <w:r>
        <w:rPr>
          <w:rFonts w:ascii="Times New Roman" w:hAnsi="Times New Roman"/>
          <w:b/>
          <w:color w:val="2F4A34"/>
          <w:sz w:val="22"/>
        </w:rPr>
        <w:t>Tabla 2. Diccionario de Datos y Estructura Relacional de 19 Tablas</w:t>
      </w:r>
      <w:r>
        <w:rPr>
          <w:rFonts w:ascii="Times New Roman" w:hAnsi="Times New Roman"/>
        </w:rPr>
        <w:tab/>
      </w:r>
      <w:r>
        <w:rPr>
          <w:rFonts w:ascii="Times New Roman" w:hAnsi="Times New Roman"/>
          <w:b/>
          <w:color w:val="2F4A34"/>
          <w:sz w:val="22"/>
        </w:rPr>
        <w:t>17</w:t>
      </w:r>
    </w:p>
    <w:p>
      <w:pPr>
        <w:spacing w:line="276" w:lineRule="auto" w:after="40" w:before="30"/>
        <w:ind w:left="0"/>
        <w:tabs>
          <w:tab w:val="right" w:leader="dot" w:pos="9360"/>
        </w:tabs>
      </w:pPr>
      <w:r>
        <w:rPr>
          <w:rFonts w:ascii="Times New Roman" w:hAnsi="Times New Roman"/>
          <w:b/>
          <w:color w:val="2F4A34"/>
          <w:sz w:val="22"/>
        </w:rPr>
        <w:t>Figura 1. Diagrama de Arquitectura Multicapa del Sistema</w:t>
      </w:r>
      <w:r>
        <w:rPr>
          <w:rFonts w:ascii="Times New Roman" w:hAnsi="Times New Roman"/>
        </w:rPr>
        <w:tab/>
      </w:r>
      <w:r>
        <w:rPr>
          <w:rFonts w:ascii="Times New Roman" w:hAnsi="Times New Roman"/>
          <w:b/>
          <w:color w:val="2F4A34"/>
          <w:sz w:val="22"/>
        </w:rPr>
        <w:t>4</w:t>
      </w:r>
    </w:p>
    <w:p>
      <w:pPr>
        <w:spacing w:line="276" w:lineRule="auto" w:after="40" w:before="30"/>
        <w:ind w:left="0"/>
        <w:tabs>
          <w:tab w:val="right" w:leader="dot" w:pos="9360"/>
        </w:tabs>
      </w:pPr>
      <w:r>
        <w:rPr>
          <w:rFonts w:ascii="Times New Roman" w:hAnsi="Times New Roman"/>
          <w:b/>
          <w:color w:val="2F4A34"/>
          <w:sz w:val="22"/>
        </w:rPr>
        <w:t>Figuras 2 a 10. Evidencias del Portal Web Público de Clientes (B2C)</w:t>
      </w:r>
      <w:r>
        <w:rPr>
          <w:rFonts w:ascii="Times New Roman" w:hAnsi="Times New Roman"/>
        </w:rPr>
        <w:tab/>
      </w:r>
      <w:r>
        <w:rPr>
          <w:rFonts w:ascii="Times New Roman" w:hAnsi="Times New Roman"/>
          <w:b/>
          <w:color w:val="2F4A34"/>
          <w:sz w:val="22"/>
        </w:rPr>
        <w:t>6 - 8</w:t>
      </w:r>
    </w:p>
    <w:p>
      <w:pPr>
        <w:spacing w:line="276" w:lineRule="auto" w:after="40" w:before="30"/>
        <w:ind w:left="0"/>
        <w:tabs>
          <w:tab w:val="right" w:leader="dot" w:pos="9360"/>
        </w:tabs>
      </w:pPr>
      <w:r>
        <w:rPr>
          <w:rFonts w:ascii="Times New Roman" w:hAnsi="Times New Roman"/>
          <w:b/>
          <w:color w:val="2F4A34"/>
          <w:sz w:val="22"/>
        </w:rPr>
        <w:t>Figuras 11 a 23. Evidencias de la Intranet y Panel Administrativo (B2E)</w:t>
      </w:r>
      <w:r>
        <w:rPr>
          <w:rFonts w:ascii="Times New Roman" w:hAnsi="Times New Roman"/>
        </w:rPr>
        <w:tab/>
      </w:r>
      <w:r>
        <w:rPr>
          <w:rFonts w:ascii="Times New Roman" w:hAnsi="Times New Roman"/>
          <w:b/>
          <w:color w:val="2F4A34"/>
          <w:sz w:val="22"/>
        </w:rPr>
        <w:t>9 - 15</w:t>
      </w:r>
    </w:p>
    <w:p>
      <w:pPr>
        <w:spacing w:line="276" w:lineRule="auto" w:after="40" w:before="30"/>
        <w:ind w:left="0"/>
        <w:tabs>
          <w:tab w:val="right" w:leader="dot" w:pos="9360"/>
        </w:tabs>
      </w:pPr>
      <w:r>
        <w:rPr>
          <w:rFonts w:ascii="Times New Roman" w:hAnsi="Times New Roman"/>
          <w:b/>
          <w:color w:val="2F4A34"/>
          <w:sz w:val="22"/>
        </w:rPr>
        <w:t>Figura 24. Diagrama Entidad-Relación (DER) de la Base de Datos</w:t>
      </w:r>
      <w:r>
        <w:rPr>
          <w:rFonts w:ascii="Times New Roman" w:hAnsi="Times New Roman"/>
        </w:rPr>
        <w:tab/>
      </w:r>
      <w:r>
        <w:rPr>
          <w:rFonts w:ascii="Times New Roman" w:hAnsi="Times New Roman"/>
          <w:b/>
          <w:color w:val="2F4A34"/>
          <w:sz w:val="22"/>
        </w:rPr>
        <w:t>17</w:t>
      </w:r>
    </w:p>
    <w:p>
      <w:pPr>
        <w:spacing w:line="276" w:lineRule="auto" w:after="40" w:before="30"/>
        <w:ind w:left="0"/>
        <w:tabs>
          <w:tab w:val="right" w:leader="dot" w:pos="9360"/>
        </w:tabs>
      </w:pPr>
      <w:r>
        <w:rPr>
          <w:rFonts w:ascii="Times New Roman" w:hAnsi="Times New Roman"/>
          <w:b/>
          <w:color w:val="2F4A34"/>
          <w:sz w:val="22"/>
        </w:rPr>
        <w:t>Figuras 25 a 27. Planificación en ProjectLibre (Gantt, WBS y Red)</w:t>
      </w:r>
      <w:r>
        <w:rPr>
          <w:rFonts w:ascii="Times New Roman" w:hAnsi="Times New Roman"/>
        </w:rPr>
        <w:tab/>
      </w:r>
      <w:r>
        <w:rPr>
          <w:rFonts w:ascii="Times New Roman" w:hAnsi="Times New Roman"/>
          <w:b/>
          <w:color w:val="2F4A34"/>
          <w:sz w:val="22"/>
        </w:rPr>
        <w:t>18</w:t>
      </w:r>
    </w:p>
    <w:p>
      <w:r>
        <w:br w:type="page"/>
      </w:r>
    </w:p>
    <w:p>
      <w:pPr>
        <w:keepNext/>
        <w:spacing w:before="360" w:after="160"/>
        <w:jc w:val="left"/>
      </w:pPr>
      <w:r>
        <w:rPr>
          <w:rFonts w:ascii="Times New Roman" w:hAnsi="Times New Roman"/>
          <w:b/>
          <w:color w:val="2F4A34"/>
          <w:sz w:val="28"/>
        </w:rPr>
        <w:t>Ficha Técnica del Sistema Desplegado en Producción</w:t>
      </w:r>
    </w:p>
    <w:p>
      <w:pPr>
        <w:spacing w:line="276" w:lineRule="auto" w:after="120"/>
        <w:jc w:val="both"/>
      </w:pPr>
      <w:r>
        <w:rPr>
          <w:rFonts w:ascii="Times New Roman" w:hAnsi="Times New Roman"/>
          <w:color w:val="1E293B"/>
          <w:sz w:val="22"/>
        </w:rPr>
        <w:t>El presente proyecto corresponde a una solución de software completa, modular y desplegada en infraestructura de nube moderna. A continuación se presentan las coordenadas de acceso y trazabilidad técnica del sistema:</w:t>
      </w:r>
    </w:p>
    <w:tbl>
      <w:tblPr>
        <w:tblW w:type="auto" w:w="0"/>
        <w:jc w:val="center"/>
        <w:tblLook w:firstColumn="1" w:firstRow="1" w:lastColumn="0" w:lastRow="0" w:noHBand="0" w:noVBand="1" w:val="04A0"/>
        <w:tblBorders>
          <w:top w:val="single" w:sz="12" w:space="0" w:color="2F4A34"/>
          <w:bottom w:val="single" w:sz="12" w:space="0" w:color="2F4A34"/>
          <w:left w:val="none"/>
          <w:right w:val="none"/>
          <w:insideH w:val="single" w:sz="4" w:space="0" w:color="E2E8F0"/>
          <w:insideV w:val="none"/>
        </w:tblBorders>
      </w:tblPr>
      <w:tblGrid>
        <w:gridCol w:w="4680"/>
        <w:gridCol w:w="4680"/>
      </w:tblGrid>
      <w:tr>
        <w:tc>
          <w:tcPr>
            <w:tcW w:type="dxa" w:w="3744"/>
            <w:tcMar>
              <w:top w:w="100" w:type="dxa"/>
              <w:bottom w:w="100" w:type="dxa"/>
              <w:left w:w="140" w:type="dxa"/>
              <w:right w:w="140" w:type="dxa"/>
            </w:tcMar>
            <w:shd w:val="clear" w:color="auto" w:fill="F8FAFC"/>
          </w:tcPr>
          <w:p>
            <w:r>
              <w:rPr>
                <w:rFonts w:ascii="Times New Roman" w:hAnsi="Times New Roman"/>
                <w:b/>
                <w:color w:val="2F4A34"/>
                <w:sz w:val="20"/>
              </w:rPr>
              <w:t>Portal Web de Clientes (Frontend con Accesibilidad):</w:t>
            </w:r>
          </w:p>
        </w:tc>
        <w:tc>
          <w:tcPr>
            <w:tcW w:type="dxa" w:w="5616"/>
            <w:tcMar>
              <w:top w:w="100" w:type="dxa"/>
              <w:bottom w:w="100" w:type="dxa"/>
              <w:left w:w="140" w:type="dxa"/>
              <w:right w:w="140" w:type="dxa"/>
            </w:tcMar>
          </w:tcPr>
          <w:p>
            <w:r>
              <w:rPr>
                <w:rFonts w:ascii="Times New Roman" w:hAnsi="Times New Roman"/>
                <w:color w:val="1E293B"/>
                <w:sz w:val="20"/>
              </w:rPr>
              <w:t>https://lushnails-portal.vercel.app</w:t>
            </w:r>
          </w:p>
        </w:tc>
      </w:tr>
      <w:tr>
        <w:tc>
          <w:tcPr>
            <w:tcW w:type="dxa" w:w="3744"/>
            <w:tcMar>
              <w:top w:w="100" w:type="dxa"/>
              <w:bottom w:w="100" w:type="dxa"/>
              <w:left w:w="140" w:type="dxa"/>
              <w:right w:w="140" w:type="dxa"/>
            </w:tcMar>
            <w:shd w:val="clear" w:color="auto" w:fill="F8FAFC"/>
          </w:tcPr>
          <w:p>
            <w:r>
              <w:rPr>
                <w:rFonts w:ascii="Times New Roman" w:hAnsi="Times New Roman"/>
                <w:b/>
                <w:color w:val="2F4A34"/>
                <w:sz w:val="20"/>
              </w:rPr>
              <w:t>Panel de Administración y Control (Backend / BSC):</w:t>
            </w:r>
          </w:p>
        </w:tc>
        <w:tc>
          <w:tcPr>
            <w:tcW w:type="dxa" w:w="5616"/>
            <w:tcMar>
              <w:top w:w="100" w:type="dxa"/>
              <w:bottom w:w="100" w:type="dxa"/>
              <w:left w:w="140" w:type="dxa"/>
              <w:right w:w="140" w:type="dxa"/>
            </w:tcMar>
          </w:tcPr>
          <w:p>
            <w:r>
              <w:rPr>
                <w:rFonts w:ascii="Times New Roman" w:hAnsi="Times New Roman"/>
                <w:color w:val="1E293B"/>
                <w:sz w:val="20"/>
              </w:rPr>
              <w:t>https://lushnails-db.vercel.app</w:t>
              <w:br/>
              <w:t>Acceso directo: https://lushnails-db.vercel.app/login</w:t>
            </w:r>
          </w:p>
        </w:tc>
      </w:tr>
      <w:tr>
        <w:tc>
          <w:tcPr>
            <w:tcW w:type="dxa" w:w="3744"/>
            <w:tcMar>
              <w:top w:w="100" w:type="dxa"/>
              <w:bottom w:w="100" w:type="dxa"/>
              <w:left w:w="140" w:type="dxa"/>
              <w:right w:w="140" w:type="dxa"/>
            </w:tcMar>
            <w:shd w:val="clear" w:color="auto" w:fill="F8FAFC"/>
          </w:tcPr>
          <w:p>
            <w:r>
              <w:rPr>
                <w:rFonts w:ascii="Times New Roman" w:hAnsi="Times New Roman"/>
                <w:b/>
                <w:color w:val="2F4A34"/>
                <w:sz w:val="20"/>
              </w:rPr>
              <w:t>Repositorio Público de Código (GitHub):</w:t>
            </w:r>
          </w:p>
        </w:tc>
        <w:tc>
          <w:tcPr>
            <w:tcW w:type="dxa" w:w="5616"/>
            <w:tcMar>
              <w:top w:w="100" w:type="dxa"/>
              <w:bottom w:w="100" w:type="dxa"/>
              <w:left w:w="140" w:type="dxa"/>
              <w:right w:w="140" w:type="dxa"/>
            </w:tcMar>
          </w:tcPr>
          <w:p>
            <w:r>
              <w:rPr>
                <w:rFonts w:ascii="Times New Roman" w:hAnsi="Times New Roman"/>
                <w:color w:val="1E293B"/>
                <w:sz w:val="20"/>
              </w:rPr>
              <w:t>https://github.com/snxz-dev/lushnails-db</w:t>
            </w:r>
          </w:p>
        </w:tc>
      </w:tr>
      <w:tr>
        <w:tc>
          <w:tcPr>
            <w:tcW w:type="dxa" w:w="3744"/>
            <w:tcMar>
              <w:top w:w="100" w:type="dxa"/>
              <w:bottom w:w="100" w:type="dxa"/>
              <w:left w:w="140" w:type="dxa"/>
              <w:right w:w="140" w:type="dxa"/>
            </w:tcMar>
            <w:shd w:val="clear" w:color="auto" w:fill="F8FAFC"/>
          </w:tcPr>
          <w:p>
            <w:r>
              <w:rPr>
                <w:rFonts w:ascii="Times New Roman" w:hAnsi="Times New Roman"/>
                <w:b/>
                <w:color w:val="2F4A34"/>
                <w:sz w:val="20"/>
              </w:rPr>
              <w:t>Credenciales Demo Administrador (Intranet):</w:t>
            </w:r>
          </w:p>
        </w:tc>
        <w:tc>
          <w:tcPr>
            <w:tcW w:type="dxa" w:w="5616"/>
            <w:tcMar>
              <w:top w:w="100" w:type="dxa"/>
              <w:bottom w:w="100" w:type="dxa"/>
              <w:left w:w="140" w:type="dxa"/>
              <w:right w:w="140" w:type="dxa"/>
            </w:tcMar>
          </w:tcPr>
          <w:p>
            <w:r>
              <w:rPr>
                <w:rFonts w:ascii="Times New Roman" w:hAnsi="Times New Roman"/>
                <w:color w:val="1E293B"/>
                <w:sz w:val="20"/>
              </w:rPr>
              <w:t>Usuario: demo-admin@lushnails.example</w:t>
              <w:br/>
              <w:t>Contraseña: admin123</w:t>
            </w:r>
          </w:p>
        </w:tc>
      </w:tr>
      <w:tr>
        <w:tc>
          <w:tcPr>
            <w:tcW w:type="dxa" w:w="3744"/>
            <w:tcMar>
              <w:top w:w="100" w:type="dxa"/>
              <w:bottom w:w="100" w:type="dxa"/>
              <w:left w:w="140" w:type="dxa"/>
              <w:right w:w="140" w:type="dxa"/>
            </w:tcMar>
            <w:shd w:val="clear" w:color="auto" w:fill="F8FAFC"/>
          </w:tcPr>
          <w:p>
            <w:r>
              <w:rPr>
                <w:rFonts w:ascii="Times New Roman" w:hAnsi="Times New Roman"/>
                <w:b/>
                <w:color w:val="2F4A34"/>
                <w:sz w:val="20"/>
              </w:rPr>
              <w:t>Base de Datos en la Nube (Neon Serverless):</w:t>
            </w:r>
          </w:p>
        </w:tc>
        <w:tc>
          <w:tcPr>
            <w:tcW w:type="dxa" w:w="5616"/>
            <w:tcMar>
              <w:top w:w="100" w:type="dxa"/>
              <w:bottom w:w="100" w:type="dxa"/>
              <w:left w:w="140" w:type="dxa"/>
              <w:right w:w="140" w:type="dxa"/>
            </w:tcMar>
          </w:tcPr>
          <w:p>
            <w:r>
              <w:rPr>
                <w:rFonts w:ascii="Times New Roman" w:hAnsi="Times New Roman"/>
                <w:color w:val="1E293B"/>
                <w:sz w:val="20"/>
              </w:rPr>
              <w:t>PostgreSQL 16 en AWS Ohio (us-east-2)</w:t>
              <w:br/>
              <w:t>Host: ep-rough-mountain-a5byi7v7.us-east-2.aws.neon.tech</w:t>
              <w:br/>
              <w:t>Base de datos: lushnails_spa (19 tablas relacionales)</w:t>
            </w:r>
          </w:p>
        </w:tc>
      </w:tr>
      <w:tr>
        <w:tc>
          <w:tcPr>
            <w:tcW w:type="dxa" w:w="3744"/>
            <w:tcMar>
              <w:top w:w="100" w:type="dxa"/>
              <w:bottom w:w="100" w:type="dxa"/>
              <w:left w:w="140" w:type="dxa"/>
              <w:right w:w="140" w:type="dxa"/>
            </w:tcMar>
            <w:shd w:val="clear" w:color="auto" w:fill="F8FAFC"/>
          </w:tcPr>
          <w:p>
            <w:r>
              <w:rPr>
                <w:rFonts w:ascii="Times New Roman" w:hAnsi="Times New Roman"/>
                <w:b/>
                <w:color w:val="2F4A34"/>
                <w:sz w:val="20"/>
              </w:rPr>
              <w:t>Stack Tecnológico de Desarrollo:</w:t>
            </w:r>
          </w:p>
        </w:tc>
        <w:tc>
          <w:tcPr>
            <w:tcW w:type="dxa" w:w="5616"/>
            <w:tcMar>
              <w:top w:w="100" w:type="dxa"/>
              <w:bottom w:w="100" w:type="dxa"/>
              <w:left w:w="140" w:type="dxa"/>
              <w:right w:w="140" w:type="dxa"/>
            </w:tcMar>
          </w:tcPr>
          <w:p>
            <w:r>
              <w:rPr>
                <w:rFonts w:ascii="Times New Roman" w:hAnsi="Times New Roman"/>
                <w:color w:val="1E293B"/>
                <w:sz w:val="20"/>
              </w:rPr>
              <w:t>Frontend B2C: React 19 SPA + CSS Modules + I18n</w:t>
              <w:br/>
              <w:t>Backend B2E: Node.js 22 LTS, Express.js, EJS, Sessions PG</w:t>
              <w:br/>
              <w:t>Seguridad: Bcrypt hashing, RBAC granular, CSP, HTTPS</w:t>
            </w:r>
          </w:p>
        </w:tc>
      </w:tr>
      <w:tr>
        <w:tc>
          <w:tcPr>
            <w:tcW w:type="dxa" w:w="3744"/>
            <w:tcMar>
              <w:top w:w="100" w:type="dxa"/>
              <w:bottom w:w="100" w:type="dxa"/>
              <w:left w:w="140" w:type="dxa"/>
              <w:right w:w="140" w:type="dxa"/>
            </w:tcMar>
            <w:shd w:val="clear" w:color="auto" w:fill="F8FAFC"/>
          </w:tcPr>
          <w:p>
            <w:r>
              <w:rPr>
                <w:rFonts w:ascii="Times New Roman" w:hAnsi="Times New Roman"/>
                <w:b/>
                <w:color w:val="2F4A34"/>
                <w:sz w:val="20"/>
              </w:rPr>
              <w:t>Estándar de Accesibilidad:</w:t>
            </w:r>
          </w:p>
        </w:tc>
        <w:tc>
          <w:tcPr>
            <w:tcW w:type="dxa" w:w="5616"/>
            <w:tcMar>
              <w:top w:w="100" w:type="dxa"/>
              <w:bottom w:w="100" w:type="dxa"/>
              <w:left w:w="140" w:type="dxa"/>
              <w:right w:w="140" w:type="dxa"/>
            </w:tcMar>
          </w:tcPr>
          <w:p>
            <w:r>
              <w:rPr>
                <w:rFonts w:ascii="Times New Roman" w:hAnsi="Times New Roman"/>
                <w:color w:val="1E293B"/>
                <w:sz w:val="20"/>
              </w:rPr>
              <w:t>WCAG 2.1 Nivel AA (Alto contraste, control de fuente, lector de pantalla y comandos de voz con Web Speech API)</w:t>
            </w:r>
          </w:p>
        </w:tc>
      </w:tr>
    </w:tbl>
    <w:p>
      <w:pPr>
        <w:spacing w:after="240"/>
      </w:pPr>
    </w:p>
    <w:p>
      <w:pPr>
        <w:keepNext/>
        <w:spacing w:before="360" w:after="160"/>
        <w:jc w:val="left"/>
      </w:pPr>
      <w:r>
        <w:rPr>
          <w:rFonts w:ascii="Times New Roman" w:hAnsi="Times New Roman"/>
          <w:b/>
          <w:color w:val="2F4A34"/>
          <w:sz w:val="28"/>
        </w:rPr>
        <w:t>1. Introducción y Justificación Empresarial</w:t>
      </w:r>
    </w:p>
    <w:p>
      <w:pPr>
        <w:keepNext/>
        <w:spacing w:before="280" w:after="120"/>
        <w:jc w:val="left"/>
      </w:pPr>
      <w:r>
        <w:rPr>
          <w:rFonts w:ascii="Times New Roman" w:hAnsi="Times New Roman"/>
          <w:b/>
          <w:color w:val="2F4A34"/>
          <w:sz w:val="25"/>
        </w:rPr>
        <w:t>1.1. Contexto Organizacional y Planteamiento del Problema</w:t>
      </w:r>
    </w:p>
    <w:p>
      <w:pPr>
        <w:spacing w:line="276" w:lineRule="auto" w:after="120"/>
        <w:jc w:val="both"/>
      </w:pPr>
      <w:r>
        <w:rPr>
          <w:rFonts w:ascii="Times New Roman" w:hAnsi="Times New Roman"/>
          <w:color w:val="1E293B"/>
          <w:sz w:val="22"/>
        </w:rPr>
        <w:t>En el dinámico sector de la belleza y el cuidado personal, las micro, pequeñas y medianas empresas (MIPYMES) enfrentan un desafío crítico de transformación digital. Lush Nails Spa S.A. es una cadena ecuatoriana especializada en manicura estética, spa de manos y pies, y diseño de uñas personalizadas con sedes en San Antonio, Tumbaco y Cumbayá. Históricamente, la empresa gestionaba sus operaciones mediante canales de mensajería instantánea no estructurados, agendas físicas en papel y hojas de cálculo desconectadas.</w:t>
      </w:r>
    </w:p>
    <w:p>
      <w:pPr>
        <w:spacing w:line="276" w:lineRule="auto" w:after="120"/>
        <w:jc w:val="both"/>
      </w:pPr>
      <w:r>
        <w:rPr>
          <w:rFonts w:ascii="Times New Roman" w:hAnsi="Times New Roman"/>
          <w:b/>
          <w:color w:val="1E293B"/>
          <w:sz w:val="22"/>
        </w:rPr>
        <w:t xml:space="preserve">Problemática Central: </w:t>
      </w:r>
      <w:r>
        <w:rPr>
          <w:rFonts w:ascii="Times New Roman" w:hAnsi="Times New Roman"/>
          <w:color w:val="1E293B"/>
          <w:sz w:val="22"/>
        </w:rPr>
        <w:t>Esta carencia de una plataforma centralizada generaba fricciones operativas severas: superposición de turnos, cancelaciones imprevistas sin auditoría, ausencia de trazabilidad en las atenciones de clientes recurrentes y falta de visibilidad gerencial en tiempo real. Por ello, el presente proyecto implementa un Portal Empresarial Corporativo Multicapa que unifica dos ecosistemas complementarios:</w:t>
      </w:r>
    </w:p>
    <w:p>
      <w:pPr>
        <w:pStyle w:val="ListBullet"/>
        <w:spacing w:line="276" w:lineRule="auto" w:after="80"/>
        <w:jc w:val="both"/>
      </w:pPr>
      <w:r>
        <w:rPr>
          <w:rFonts w:ascii="Times New Roman" w:hAnsi="Times New Roman"/>
          <w:b/>
          <w:color w:val="2F4A34"/>
          <w:sz w:val="22"/>
        </w:rPr>
        <w:t xml:space="preserve">Portal Público B2C (Business-to-Consumer): </w:t>
      </w:r>
      <w:r>
        <w:rPr>
          <w:rFonts w:ascii="Times New Roman" w:hAnsi="Times New Roman"/>
          <w:color w:val="1E293B"/>
          <w:sz w:val="22"/>
        </w:rPr>
        <w:t>Diseñado para brindar a la clientela una experiencia de usuario interactiva, accesible, fluida y moderna, permitiendo explorar catálogos, agendar citas en tiempo real y gestionar su cuenta de autoservicio.</w:t>
      </w:r>
    </w:p>
    <w:p>
      <w:pPr>
        <w:pStyle w:val="ListBullet"/>
        <w:spacing w:line="276" w:lineRule="auto" w:after="80"/>
        <w:jc w:val="both"/>
      </w:pPr>
      <w:r>
        <w:rPr>
          <w:rFonts w:ascii="Times New Roman" w:hAnsi="Times New Roman"/>
          <w:b/>
          <w:color w:val="2F4A34"/>
          <w:sz w:val="22"/>
        </w:rPr>
        <w:t xml:space="preserve">Intranet Corporativa B2E (Business-to-Employee): </w:t>
      </w:r>
      <w:r>
        <w:rPr>
          <w:rFonts w:ascii="Times New Roman" w:hAnsi="Times New Roman"/>
          <w:color w:val="1E293B"/>
          <w:sz w:val="22"/>
        </w:rPr>
        <w:t>Destinada al equipo administrativo, recepcionistas y especialistas técnicos, integrando gestión de citas, roles de seguridad (RBAC), control de insumos y un Cuadro de Mando Integral (Balanced Scorecard).</w:t>
      </w:r>
    </w:p>
    <w:p>
      <w:pPr>
        <w:keepNext/>
        <w:spacing w:before="280" w:after="120"/>
        <w:jc w:val="left"/>
      </w:pPr>
      <w:r>
        <w:rPr>
          <w:rFonts w:ascii="Times New Roman" w:hAnsi="Times New Roman"/>
          <w:b/>
          <w:color w:val="2F4A34"/>
          <w:sz w:val="25"/>
        </w:rPr>
        <w:t>1.2. Justificación Técnica y Beneficio Estratégico</w:t>
      </w:r>
    </w:p>
    <w:p>
      <w:pPr>
        <w:spacing w:line="276" w:lineRule="auto" w:after="120"/>
        <w:jc w:val="both"/>
      </w:pPr>
      <w:r>
        <w:rPr>
          <w:rFonts w:ascii="Times New Roman" w:hAnsi="Times New Roman"/>
          <w:color w:val="1E293B"/>
          <w:sz w:val="22"/>
        </w:rPr>
        <w:t>La justificación de esta solución radica en la necesidad de sustituir procesos manuales propensos al error por una infraestructura escalable en la nube (Cloud Serverless). La separación arquitectónica entre frontend y backend garantiza independencia de despliegue, optimización SEO, alta disponibilidad y reducción de costos mediante autoscaling. Asimismo, la integración de métricas estratégicas bajo la metodología del Balanced Scorecard proporciona a la gerencia indicadores de rendimiento clave para orientar decisiones comerciales fundamentadas en datos reales.</w:t>
      </w:r>
    </w:p>
    <w:p>
      <w:pPr>
        <w:keepNext/>
        <w:spacing w:before="280" w:after="120"/>
        <w:jc w:val="left"/>
      </w:pPr>
      <w:r>
        <w:rPr>
          <w:rFonts w:ascii="Times New Roman" w:hAnsi="Times New Roman"/>
          <w:b/>
          <w:color w:val="2F4A34"/>
          <w:sz w:val="25"/>
        </w:rPr>
        <w:t>1.3. Objetivos del Proyecto</w:t>
      </w:r>
    </w:p>
    <w:p>
      <w:pPr>
        <w:spacing w:line="276" w:lineRule="auto" w:after="120"/>
        <w:jc w:val="both"/>
      </w:pPr>
      <w:r>
        <w:rPr>
          <w:rFonts w:ascii="Times New Roman" w:hAnsi="Times New Roman"/>
          <w:b/>
          <w:color w:val="1E293B"/>
          <w:sz w:val="22"/>
        </w:rPr>
        <w:t xml:space="preserve">Objetivo General: </w:t>
      </w:r>
      <w:r>
        <w:rPr>
          <w:rFonts w:ascii="Times New Roman" w:hAnsi="Times New Roman"/>
          <w:color w:val="1E293B"/>
          <w:sz w:val="22"/>
        </w:rPr>
        <w:t>Desarrollar e implementar un Portal Empresarial Corporativo Multicapa con arquitectura desacoplada (React 19, Node.js 22 LTS y PostgreSQL 16 Serverless en Neon Cloud), integrando un portal B2C accesible bajo normas WCAG 2.1 Nivel AA y una intranet B2E con Cuadro de Mando Integral (Balanced Scorecard) para optimizar la gestión operativa, la fidelización del cliente y la toma de decisiones estratégicas en Lush Nails Spa S.A.</w:t>
      </w:r>
    </w:p>
    <w:p>
      <w:pPr>
        <w:spacing w:line="276" w:lineRule="auto" w:after="120"/>
        <w:jc w:val="both"/>
      </w:pPr>
      <w:r>
        <w:rPr>
          <w:rFonts w:ascii="Times New Roman" w:hAnsi="Times New Roman"/>
          <w:b/>
          <w:color w:val="1E293B"/>
          <w:sz w:val="22"/>
        </w:rPr>
        <w:t xml:space="preserve">Objetivos Específicos: </w:t>
      </w:r>
      <w:r>
        <w:rPr>
          <w:rFonts w:ascii="Times New Roman" w:hAnsi="Times New Roman"/>
          <w:color w:val="1E293B"/>
          <w:sz w:val="22"/>
        </w:rPr>
        <w:t>Para la consecución del objetivo general, se establecen los siguientes objetivos específicos estructurados según el ciclo de ingeniería de software:</w:t>
      </w:r>
    </w:p>
    <w:p>
      <w:pPr>
        <w:pStyle w:val="ListBullet"/>
        <w:spacing w:line="276" w:lineRule="auto" w:after="80"/>
        <w:jc w:val="both"/>
      </w:pPr>
      <w:r>
        <w:rPr>
          <w:rFonts w:ascii="Times New Roman" w:hAnsi="Times New Roman"/>
          <w:b/>
          <w:color w:val="2F4A34"/>
          <w:sz w:val="22"/>
        </w:rPr>
        <w:t xml:space="preserve">1. Diseñar e implementar la interfaz B2C: </w:t>
      </w:r>
      <w:r>
        <w:rPr>
          <w:rFonts w:ascii="Times New Roman" w:hAnsi="Times New Roman"/>
          <w:color w:val="1E293B"/>
          <w:sz w:val="22"/>
        </w:rPr>
        <w:t>Construir una Single Page Application (SPA) responsiva con React 19 que cumpla con los estándares internacionales de accesibilidad WCAG 2.1 AA, integrando catálogo dinámico, alto contraste, comandos por voz y reserva de citas.</w:t>
      </w:r>
    </w:p>
    <w:p>
      <w:pPr>
        <w:pStyle w:val="ListBullet"/>
        <w:spacing w:line="276" w:lineRule="auto" w:after="80"/>
        <w:jc w:val="both"/>
      </w:pPr>
      <w:r>
        <w:rPr>
          <w:rFonts w:ascii="Times New Roman" w:hAnsi="Times New Roman"/>
          <w:b/>
          <w:color w:val="2F4A34"/>
          <w:sz w:val="22"/>
        </w:rPr>
        <w:t xml:space="preserve">2. Desarrollar la lógica de negocio y APIs RESTful: </w:t>
      </w:r>
      <w:r>
        <w:rPr>
          <w:rFonts w:ascii="Times New Roman" w:hAnsi="Times New Roman"/>
          <w:color w:val="1E293B"/>
          <w:sz w:val="22"/>
        </w:rPr>
        <w:t>Programar un backend seguro en Node.js y Express.js que gestione la autenticación, autorización por roles (RBAC), control de sesiones en base de datos y endpoints para disponibilidad y citas.</w:t>
      </w:r>
    </w:p>
    <w:p>
      <w:pPr>
        <w:pStyle w:val="ListBullet"/>
        <w:spacing w:line="276" w:lineRule="auto" w:after="80"/>
        <w:jc w:val="both"/>
      </w:pPr>
      <w:r>
        <w:rPr>
          <w:rFonts w:ascii="Times New Roman" w:hAnsi="Times New Roman"/>
          <w:b/>
          <w:color w:val="2F4A34"/>
          <w:sz w:val="22"/>
        </w:rPr>
        <w:t xml:space="preserve">3. Modelar y normalizar la base de datos relacional: </w:t>
      </w:r>
      <w:r>
        <w:rPr>
          <w:rFonts w:ascii="Times New Roman" w:hAnsi="Times New Roman"/>
          <w:color w:val="1E293B"/>
          <w:sz w:val="22"/>
        </w:rPr>
        <w:t>Diseñar un esquema en PostgreSQL 16 Serverless (Neon Cloud) normalizado en Tercera Forma Normal (3FN), compuesto por 19 tablas con integridad referencial y transacciones ACID.</w:t>
      </w:r>
    </w:p>
    <w:p>
      <w:pPr>
        <w:pStyle w:val="ListBullet"/>
        <w:spacing w:line="276" w:lineRule="auto" w:after="80"/>
        <w:jc w:val="both"/>
      </w:pPr>
      <w:r>
        <w:rPr>
          <w:rFonts w:ascii="Times New Roman" w:hAnsi="Times New Roman"/>
          <w:b/>
          <w:color w:val="2F4A34"/>
          <w:sz w:val="22"/>
        </w:rPr>
        <w:t xml:space="preserve">4. Implementar el Cuadro de Mando Integral (BSC): </w:t>
      </w:r>
      <w:r>
        <w:rPr>
          <w:rFonts w:ascii="Times New Roman" w:hAnsi="Times New Roman"/>
          <w:color w:val="1E293B"/>
          <w:sz w:val="22"/>
        </w:rPr>
        <w:t>Diseñar un dashboard gerencial que consolide métricas de desempeño en cuatro perspectivas (Financiera, Clientes, Procesos Internos, Aprendizaje) con semaforización automatizada.</w:t>
      </w:r>
    </w:p>
    <w:p>
      <w:pPr>
        <w:pStyle w:val="ListBullet"/>
        <w:spacing w:line="276" w:lineRule="auto" w:after="80"/>
        <w:jc w:val="both"/>
      </w:pPr>
      <w:r>
        <w:rPr>
          <w:rFonts w:ascii="Times New Roman" w:hAnsi="Times New Roman"/>
          <w:b/>
          <w:color w:val="2F4A34"/>
          <w:sz w:val="22"/>
        </w:rPr>
        <w:t xml:space="preserve">5. Planificar el proyecto con ProjectLibre: </w:t>
      </w:r>
      <w:r>
        <w:rPr>
          <w:rFonts w:ascii="Times New Roman" w:hAnsi="Times New Roman"/>
          <w:color w:val="1E293B"/>
          <w:sz w:val="22"/>
        </w:rPr>
        <w:t>Estructurar la Estructura de Desglose del Trabajo (EDT/WBS), ruta crítica (CPM), cronograma de hitos y presupuesto detallado para asegurar el control de costos y tiempos.</w:t>
      </w:r>
    </w:p>
    <w:p>
      <w:pPr>
        <w:keepNext/>
        <w:spacing w:before="360" w:after="160"/>
        <w:jc w:val="left"/>
      </w:pPr>
      <w:r>
        <w:rPr>
          <w:rFonts w:ascii="Times New Roman" w:hAnsi="Times New Roman"/>
          <w:b/>
          <w:color w:val="2F4A34"/>
          <w:sz w:val="28"/>
        </w:rPr>
        <w:t>2. Arquitectura de Software y Modelo Multicapa</w:t>
      </w:r>
    </w:p>
    <w:p>
      <w:pPr>
        <w:spacing w:line="276" w:lineRule="auto" w:after="120"/>
        <w:jc w:val="both"/>
      </w:pPr>
      <w:r>
        <w:rPr>
          <w:rFonts w:ascii="Times New Roman" w:hAnsi="Times New Roman"/>
          <w:color w:val="1E293B"/>
          <w:sz w:val="22"/>
        </w:rPr>
        <w:t>La solución implementada adopta el paradigma de arquitectura en tres capas desacopladas, lo que garantiza alta cohesión, bajo acoplamiento, seguridad en la capa de datos y escalabilidad elástica en la nube:</w:t>
      </w:r>
    </w:p>
    <w:p>
      <w:pPr>
        <w:pStyle w:val="ListBullet"/>
        <w:spacing w:line="276" w:lineRule="auto" w:after="80"/>
        <w:jc w:val="both"/>
      </w:pPr>
      <w:r>
        <w:rPr>
          <w:rFonts w:ascii="Times New Roman" w:hAnsi="Times New Roman"/>
          <w:b/>
          <w:color w:val="2F4A34"/>
          <w:sz w:val="22"/>
        </w:rPr>
        <w:t xml:space="preserve">Capa de Presentación (Frontend): </w:t>
      </w:r>
      <w:r>
        <w:rPr>
          <w:rFonts w:ascii="Times New Roman" w:hAnsi="Times New Roman"/>
          <w:color w:val="1E293B"/>
          <w:sz w:val="22"/>
        </w:rPr>
        <w:t>Construida con React 19 y Single Page Application (SPA), optimizada para renderizado ultrarrápido, animaciones sutiles y cumplimiento riguroso de accesibilidad WCAG 2.1 AA.</w:t>
      </w:r>
    </w:p>
    <w:p>
      <w:pPr>
        <w:pStyle w:val="ListBullet"/>
        <w:spacing w:line="276" w:lineRule="auto" w:after="80"/>
        <w:jc w:val="both"/>
      </w:pPr>
      <w:r>
        <w:rPr>
          <w:rFonts w:ascii="Times New Roman" w:hAnsi="Times New Roman"/>
          <w:b/>
          <w:color w:val="2F4A34"/>
          <w:sz w:val="22"/>
        </w:rPr>
        <w:t xml:space="preserve">Capa Lógica de Negocio (Backend): </w:t>
      </w:r>
      <w:r>
        <w:rPr>
          <w:rFonts w:ascii="Times New Roman" w:hAnsi="Times New Roman"/>
          <w:color w:val="1E293B"/>
          <w:sz w:val="22"/>
        </w:rPr>
        <w:t>Servicio robusto desarrollado con Node.js 22 LTS y Express.js, que expone APIs REST JSON protegidas con CORS, middlewares de autorización basados en roles (RBAC) y sesiones persistentes con connect-pg-simple.</w:t>
      </w:r>
    </w:p>
    <w:p>
      <w:pPr>
        <w:pStyle w:val="ListBullet"/>
        <w:spacing w:line="276" w:lineRule="auto" w:after="80"/>
        <w:jc w:val="both"/>
      </w:pPr>
      <w:r>
        <w:rPr>
          <w:rFonts w:ascii="Times New Roman" w:hAnsi="Times New Roman"/>
          <w:b/>
          <w:color w:val="2F4A34"/>
          <w:sz w:val="22"/>
        </w:rPr>
        <w:t xml:space="preserve">Capa de Persistencia (Base de Datos): </w:t>
      </w:r>
      <w:r>
        <w:rPr>
          <w:rFonts w:ascii="Times New Roman" w:hAnsi="Times New Roman"/>
          <w:color w:val="1E293B"/>
          <w:sz w:val="22"/>
        </w:rPr>
        <w:t>Instancia de PostgreSQL 16 Serverless hospedada en Neon Cloud (AWS Ohio), con 19 tablas relacionales normalizadas en 3FN, transacciones ACID y cálculo dinámico de métricas.</w:t>
      </w:r>
    </w:p>
    <w:p>
      <w:pPr>
        <w:keepNext/>
        <w:spacing w:before="280" w:after="40"/>
      </w:pPr>
      <w:r>
        <w:rPr>
          <w:rFonts w:ascii="Times New Roman" w:hAnsi="Times New Roman"/>
          <w:b/>
          <w:color w:val="2F4A34"/>
          <w:sz w:val="21"/>
        </w:rPr>
        <w:t>Figura 1</w:t>
      </w:r>
    </w:p>
    <w:p>
      <w:pPr>
        <w:keepNext/>
        <w:spacing w:before="0" w:after="120"/>
      </w:pPr>
      <w:r>
        <w:rPr>
          <w:rFonts w:ascii="Times New Roman" w:hAnsi="Times New Roman"/>
          <w:i/>
          <w:color w:val="1E293B"/>
          <w:sz w:val="21"/>
        </w:rPr>
        <w:t>Arquitectura Tecnológica Multicapa del Portal Lush Nails Spa S.A.</w:t>
      </w:r>
    </w:p>
    <w:p>
      <w:pPr>
        <w:spacing w:before="0" w:after="80"/>
        <w:jc w:val="center"/>
      </w:pPr>
      <w:r>
        <w:drawing>
          <wp:inline xmlns:a="http://schemas.openxmlformats.org/drawingml/2006/main" xmlns:pic="http://schemas.openxmlformats.org/drawingml/2006/picture">
            <wp:extent cx="5486400" cy="3200400"/>
            <wp:docPr id="1" name="Picture 1"/>
            <wp:cNvGraphicFramePr>
              <a:graphicFrameLocks noChangeAspect="1"/>
            </wp:cNvGraphicFramePr>
            <a:graphic>
              <a:graphicData uri="http://schemas.openxmlformats.org/drawingml/2006/picture">
                <pic:pic>
                  <pic:nvPicPr>
                    <pic:cNvPr id="0" name="figura1_arquitectura.png"/>
                    <pic:cNvPicPr/>
                  </pic:nvPicPr>
                  <pic:blipFill>
                    <a:blip r:embed="rId11"/>
                    <a:stretch>
                      <a:fillRect/>
                    </a:stretch>
                  </pic:blipFill>
                  <pic:spPr>
                    <a:xfrm>
                      <a:off x="0" y="0"/>
                      <a:ext cx="5486400" cy="3200400"/>
                    </a:xfrm>
                    <a:prstGeom prst="rect"/>
                  </pic:spPr>
                </pic:pic>
              </a:graphicData>
            </a:graphic>
          </wp:inline>
        </w:drawing>
      </w:r>
    </w:p>
    <w:p>
      <w:pPr>
        <w:spacing w:before="0" w:after="280"/>
      </w:pPr>
      <w:r>
        <w:rPr>
          <w:rFonts w:ascii="Times New Roman" w:hAnsi="Times New Roman"/>
          <w:i/>
          <w:color w:val="475569"/>
          <w:sz w:val="19"/>
        </w:rPr>
        <w:t xml:space="preserve">Nota. </w:t>
      </w:r>
      <w:r>
        <w:rPr>
          <w:rFonts w:ascii="Times New Roman" w:hAnsi="Times New Roman"/>
          <w:color w:val="475569"/>
          <w:sz w:val="19"/>
        </w:rPr>
        <w:t>Diagrama esquemático que representa la interacción entre las tres capas: Presentación en React 19, Servicios en Node.js/Express y Persistencia en PostgreSQL 16 Serverless (Neon Cloud).</w:t>
      </w:r>
    </w:p>
    <w:p>
      <w:pPr>
        <w:keepNext/>
        <w:spacing w:before="280" w:after="120"/>
        <w:jc w:val="left"/>
      </w:pPr>
      <w:r>
        <w:rPr>
          <w:rFonts w:ascii="Times New Roman" w:hAnsi="Times New Roman"/>
          <w:b/>
          <w:color w:val="2F4A34"/>
          <w:sz w:val="25"/>
        </w:rPr>
        <w:t>2.1. Arquitectura de Accesibilidad Universal (WCAG 2.1 AA)</w:t>
      </w:r>
    </w:p>
    <w:p>
      <w:pPr>
        <w:spacing w:line="276" w:lineRule="auto" w:after="120"/>
        <w:jc w:val="both"/>
      </w:pPr>
      <w:r>
        <w:rPr>
          <w:rFonts w:ascii="Times New Roman" w:hAnsi="Times New Roman"/>
          <w:color w:val="1E293B"/>
          <w:sz w:val="22"/>
        </w:rPr>
        <w:t>El portal incorpora de manera nativa un widget integral de accesibilidad diseñado para usuarios con diversas capacidades físicas y cognitivas, asegurando inclusión digital:</w:t>
      </w:r>
    </w:p>
    <w:p>
      <w:pPr>
        <w:pStyle w:val="ListBullet"/>
        <w:spacing w:line="276" w:lineRule="auto" w:after="80"/>
        <w:jc w:val="both"/>
      </w:pPr>
      <w:r>
        <w:rPr>
          <w:rFonts w:ascii="Times New Roman" w:hAnsi="Times New Roman"/>
          <w:b/>
          <w:color w:val="2F4A34"/>
          <w:sz w:val="22"/>
        </w:rPr>
        <w:t xml:space="preserve">Modo de Alto Contraste: </w:t>
      </w:r>
      <w:r>
        <w:rPr>
          <w:rFonts w:ascii="Times New Roman" w:hAnsi="Times New Roman"/>
          <w:color w:val="1E293B"/>
          <w:sz w:val="22"/>
        </w:rPr>
        <w:t>Esquema cromático de fondo negro puro (#000000) con tipografía blanca de máxima luminancia (#FFFFFF) y acentos esmeralda para pacientes con baja visión o fotofobia.</w:t>
      </w:r>
    </w:p>
    <w:p>
      <w:pPr>
        <w:pStyle w:val="ListBullet"/>
        <w:spacing w:line="276" w:lineRule="auto" w:after="80"/>
        <w:jc w:val="both"/>
      </w:pPr>
      <w:r>
        <w:rPr>
          <w:rFonts w:ascii="Times New Roman" w:hAnsi="Times New Roman"/>
          <w:b/>
          <w:color w:val="2F4A34"/>
          <w:sz w:val="22"/>
        </w:rPr>
        <w:t xml:space="preserve">Escalamiento Dinámico de Fuentes: </w:t>
      </w:r>
      <w:r>
        <w:rPr>
          <w:rFonts w:ascii="Times New Roman" w:hAnsi="Times New Roman"/>
          <w:color w:val="1E293B"/>
          <w:sz w:val="22"/>
        </w:rPr>
        <w:t>Permite incrementar el tamaño tipográfico desde el 80% hasta el 150% sin romper la maquetación ni superponer textos.</w:t>
      </w:r>
    </w:p>
    <w:p>
      <w:pPr>
        <w:pStyle w:val="ListBullet"/>
        <w:spacing w:line="276" w:lineRule="auto" w:after="80"/>
        <w:jc w:val="both"/>
      </w:pPr>
      <w:r>
        <w:rPr>
          <w:rFonts w:ascii="Times New Roman" w:hAnsi="Times New Roman"/>
          <w:b/>
          <w:color w:val="2F4A34"/>
          <w:sz w:val="22"/>
        </w:rPr>
        <w:t xml:space="preserve">Reconocimiento y Comandos de Voz: </w:t>
      </w:r>
      <w:r>
        <w:rPr>
          <w:rFonts w:ascii="Times New Roman" w:hAnsi="Times New Roman"/>
          <w:color w:val="1E293B"/>
          <w:sz w:val="22"/>
        </w:rPr>
        <w:t>Integración de la Web Speech API para navegar por voz entre las diferentes secciones del portal sin necesidad de periféricos táctiles.</w:t>
      </w:r>
    </w:p>
    <w:p>
      <w:pPr>
        <w:pStyle w:val="ListBullet"/>
        <w:spacing w:line="276" w:lineRule="auto" w:after="80"/>
        <w:jc w:val="both"/>
      </w:pPr>
      <w:r>
        <w:rPr>
          <w:rFonts w:ascii="Times New Roman" w:hAnsi="Times New Roman"/>
          <w:b/>
          <w:color w:val="2F4A34"/>
          <w:sz w:val="22"/>
        </w:rPr>
        <w:t xml:space="preserve">Navegación por Teclado y Enlace de Salto: </w:t>
      </w:r>
      <w:r>
        <w:rPr>
          <w:rFonts w:ascii="Times New Roman" w:hAnsi="Times New Roman"/>
          <w:color w:val="1E293B"/>
          <w:sz w:val="22"/>
        </w:rPr>
        <w:t>Marcado semántico con roles WAI-ARIA, skip links (#main-content) y anillos de foco visibles de 3px para usuarios dependientes de lectores de pantalla.</w:t>
      </w:r>
    </w:p>
    <w:p>
      <w:pPr>
        <w:keepNext/>
        <w:spacing w:before="360" w:after="160"/>
        <w:jc w:val="left"/>
      </w:pPr>
      <w:r>
        <w:rPr>
          <w:rFonts w:ascii="Times New Roman" w:hAnsi="Times New Roman"/>
          <w:b/>
          <w:color w:val="2F4A34"/>
          <w:sz w:val="28"/>
        </w:rPr>
        <w:t>3. Portal Web Público B2C: Experiencia del Cliente</w:t>
      </w:r>
    </w:p>
    <w:p>
      <w:pPr>
        <w:spacing w:line="276" w:lineRule="auto" w:after="120"/>
        <w:jc w:val="both"/>
      </w:pPr>
      <w:r>
        <w:rPr>
          <w:rFonts w:ascii="Times New Roman" w:hAnsi="Times New Roman"/>
          <w:color w:val="1E293B"/>
          <w:sz w:val="22"/>
        </w:rPr>
        <w:t>El portal B2C constituye el punto de contacto primario con el público. A continuación se documenta el recorrido interactivo con las evidencias de funcionamiento en vivo:</w:t>
      </w:r>
    </w:p>
    <w:p>
      <w:pPr>
        <w:keepNext/>
        <w:spacing w:before="280" w:after="40"/>
      </w:pPr>
      <w:r>
        <w:rPr>
          <w:rFonts w:ascii="Times New Roman" w:hAnsi="Times New Roman"/>
          <w:b/>
          <w:color w:val="2F4A34"/>
          <w:sz w:val="21"/>
        </w:rPr>
        <w:t>Figura 2</w:t>
      </w:r>
    </w:p>
    <w:p>
      <w:pPr>
        <w:keepNext/>
        <w:spacing w:before="0" w:after="120"/>
      </w:pPr>
      <w:r>
        <w:rPr>
          <w:rFonts w:ascii="Times New Roman" w:hAnsi="Times New Roman"/>
          <w:i/>
          <w:color w:val="1E293B"/>
          <w:sz w:val="21"/>
        </w:rPr>
        <w:t>Portal B2C: Página Principal (Hero Section) y Navegación Principal</w:t>
      </w:r>
    </w:p>
    <w:p>
      <w:pPr>
        <w:spacing w:before="0" w:after="80"/>
        <w:jc w:val="center"/>
      </w:pPr>
      <w:r>
        <w:drawing>
          <wp:inline xmlns:a="http://schemas.openxmlformats.org/drawingml/2006/main" xmlns:pic="http://schemas.openxmlformats.org/drawingml/2006/picture">
            <wp:extent cx="5303520" cy="2347737"/>
            <wp:docPr id="2" name="Picture 2"/>
            <wp:cNvGraphicFramePr>
              <a:graphicFrameLocks noChangeAspect="1"/>
            </wp:cNvGraphicFramePr>
            <a:graphic>
              <a:graphicData uri="http://schemas.openxmlformats.org/drawingml/2006/picture">
                <pic:pic>
                  <pic:nvPicPr>
                    <pic:cNvPr id="0" name="image1.png"/>
                    <pic:cNvPicPr/>
                  </pic:nvPicPr>
                  <pic:blipFill>
                    <a:blip r:embed="rId12"/>
                    <a:stretch>
                      <a:fillRect/>
                    </a:stretch>
                  </pic:blipFill>
                  <pic:spPr>
                    <a:xfrm>
                      <a:off x="0" y="0"/>
                      <a:ext cx="5303520" cy="2347737"/>
                    </a:xfrm>
                    <a:prstGeom prst="rect"/>
                  </pic:spPr>
                </pic:pic>
              </a:graphicData>
            </a:graphic>
          </wp:inline>
        </w:drawing>
      </w:r>
    </w:p>
    <w:p>
      <w:pPr>
        <w:spacing w:before="0" w:after="280"/>
      </w:pPr>
      <w:r>
        <w:rPr>
          <w:rFonts w:ascii="Times New Roman" w:hAnsi="Times New Roman"/>
          <w:i/>
          <w:color w:val="475569"/>
          <w:sz w:val="19"/>
        </w:rPr>
        <w:t xml:space="preserve">Nota. </w:t>
      </w:r>
      <w:r>
        <w:rPr>
          <w:rFonts w:ascii="Times New Roman" w:hAnsi="Times New Roman"/>
          <w:color w:val="475569"/>
          <w:sz w:val="19"/>
        </w:rPr>
        <w:t>Vista de cabecera con logotipo, menú de navegación superior accesible y llamada a la acción para agendamiento.</w:t>
      </w:r>
    </w:p>
    <w:p>
      <w:pPr>
        <w:keepNext/>
        <w:spacing w:before="280" w:after="40"/>
      </w:pPr>
      <w:r>
        <w:rPr>
          <w:rFonts w:ascii="Times New Roman" w:hAnsi="Times New Roman"/>
          <w:b/>
          <w:color w:val="2F4A34"/>
          <w:sz w:val="21"/>
        </w:rPr>
        <w:t>Figura 3</w:t>
      </w:r>
    </w:p>
    <w:p>
      <w:pPr>
        <w:keepNext/>
        <w:spacing w:before="0" w:after="120"/>
      </w:pPr>
      <w:r>
        <w:rPr>
          <w:rFonts w:ascii="Times New Roman" w:hAnsi="Times New Roman"/>
          <w:i/>
          <w:color w:val="1E293B"/>
          <w:sz w:val="21"/>
        </w:rPr>
        <w:t>Portal B2C: Sección Sobre Nosotros y Filosofía Corporativa</w:t>
      </w:r>
    </w:p>
    <w:p>
      <w:pPr>
        <w:spacing w:before="0" w:after="80"/>
        <w:jc w:val="center"/>
      </w:pPr>
      <w:r>
        <w:drawing>
          <wp:inline xmlns:a="http://schemas.openxmlformats.org/drawingml/2006/main" xmlns:pic="http://schemas.openxmlformats.org/drawingml/2006/picture">
            <wp:extent cx="5303520" cy="2295635"/>
            <wp:docPr id="3" name="Picture 3"/>
            <wp:cNvGraphicFramePr>
              <a:graphicFrameLocks noChangeAspect="1"/>
            </wp:cNvGraphicFramePr>
            <a:graphic>
              <a:graphicData uri="http://schemas.openxmlformats.org/drawingml/2006/picture">
                <pic:pic>
                  <pic:nvPicPr>
                    <pic:cNvPr id="0" name="image2.png"/>
                    <pic:cNvPicPr/>
                  </pic:nvPicPr>
                  <pic:blipFill>
                    <a:blip r:embed="rId13"/>
                    <a:stretch>
                      <a:fillRect/>
                    </a:stretch>
                  </pic:blipFill>
                  <pic:spPr>
                    <a:xfrm>
                      <a:off x="0" y="0"/>
                      <a:ext cx="5303520" cy="2295635"/>
                    </a:xfrm>
                    <a:prstGeom prst="rect"/>
                  </pic:spPr>
                </pic:pic>
              </a:graphicData>
            </a:graphic>
          </wp:inline>
        </w:drawing>
      </w:r>
    </w:p>
    <w:p>
      <w:pPr>
        <w:spacing w:before="0" w:after="280"/>
      </w:pPr>
      <w:r>
        <w:rPr>
          <w:rFonts w:ascii="Times New Roman" w:hAnsi="Times New Roman"/>
          <w:i/>
          <w:color w:val="475569"/>
          <w:sz w:val="19"/>
        </w:rPr>
        <w:t xml:space="preserve">Nota. </w:t>
      </w:r>
      <w:r>
        <w:rPr>
          <w:rFonts w:ascii="Times New Roman" w:hAnsi="Times New Roman"/>
          <w:color w:val="475569"/>
          <w:sz w:val="19"/>
        </w:rPr>
        <w:t>Presentación de la identidad de marca, misión, visión y valores centrados en el cuidado de la salud estética.</w:t>
      </w:r>
    </w:p>
    <w:p>
      <w:pPr>
        <w:keepNext/>
        <w:spacing w:before="280" w:after="40"/>
      </w:pPr>
      <w:r>
        <w:rPr>
          <w:rFonts w:ascii="Times New Roman" w:hAnsi="Times New Roman"/>
          <w:b/>
          <w:color w:val="2F4A34"/>
          <w:sz w:val="21"/>
        </w:rPr>
        <w:t>Figura 4</w:t>
      </w:r>
    </w:p>
    <w:p>
      <w:pPr>
        <w:keepNext/>
        <w:spacing w:before="0" w:after="120"/>
      </w:pPr>
      <w:r>
        <w:rPr>
          <w:rFonts w:ascii="Times New Roman" w:hAnsi="Times New Roman"/>
          <w:i/>
          <w:color w:val="1E293B"/>
          <w:sz w:val="21"/>
        </w:rPr>
        <w:t>Portal B2C: Catálogo Interactivo de Servicios y Precios</w:t>
      </w:r>
    </w:p>
    <w:p>
      <w:pPr>
        <w:spacing w:before="0" w:after="80"/>
        <w:jc w:val="center"/>
      </w:pPr>
      <w:r>
        <w:drawing>
          <wp:inline xmlns:a="http://schemas.openxmlformats.org/drawingml/2006/main" xmlns:pic="http://schemas.openxmlformats.org/drawingml/2006/picture">
            <wp:extent cx="5303520" cy="2323447"/>
            <wp:docPr id="4" name="Picture 4"/>
            <wp:cNvGraphicFramePr>
              <a:graphicFrameLocks noChangeAspect="1"/>
            </wp:cNvGraphicFramePr>
            <a:graphic>
              <a:graphicData uri="http://schemas.openxmlformats.org/drawingml/2006/picture">
                <pic:pic>
                  <pic:nvPicPr>
                    <pic:cNvPr id="0" name="image3.png"/>
                    <pic:cNvPicPr/>
                  </pic:nvPicPr>
                  <pic:blipFill>
                    <a:blip r:embed="rId14"/>
                    <a:stretch>
                      <a:fillRect/>
                    </a:stretch>
                  </pic:blipFill>
                  <pic:spPr>
                    <a:xfrm>
                      <a:off x="0" y="0"/>
                      <a:ext cx="5303520" cy="2323447"/>
                    </a:xfrm>
                    <a:prstGeom prst="rect"/>
                  </pic:spPr>
                </pic:pic>
              </a:graphicData>
            </a:graphic>
          </wp:inline>
        </w:drawing>
      </w:r>
    </w:p>
    <w:p>
      <w:pPr>
        <w:spacing w:before="0" w:after="280"/>
      </w:pPr>
      <w:r>
        <w:rPr>
          <w:rFonts w:ascii="Times New Roman" w:hAnsi="Times New Roman"/>
          <w:i/>
          <w:color w:val="475569"/>
          <w:sz w:val="19"/>
        </w:rPr>
        <w:t xml:space="preserve">Nota. </w:t>
      </w:r>
      <w:r>
        <w:rPr>
          <w:rFonts w:ascii="Times New Roman" w:hAnsi="Times New Roman"/>
          <w:color w:val="475569"/>
          <w:sz w:val="19"/>
        </w:rPr>
        <w:t>Tarjetas de servicio con categorías (Uñas Acrílicas, Spa Pedicure, Gel Polish), duraciones estimadas y tarifas transparentes.</w:t>
      </w:r>
    </w:p>
    <w:p>
      <w:pPr>
        <w:keepNext/>
        <w:spacing w:before="280" w:after="40"/>
      </w:pPr>
      <w:r>
        <w:rPr>
          <w:rFonts w:ascii="Times New Roman" w:hAnsi="Times New Roman"/>
          <w:b/>
          <w:color w:val="2F4A34"/>
          <w:sz w:val="21"/>
        </w:rPr>
        <w:t>Figura 5</w:t>
      </w:r>
    </w:p>
    <w:p>
      <w:pPr>
        <w:keepNext/>
        <w:spacing w:before="0" w:after="120"/>
      </w:pPr>
      <w:r>
        <w:rPr>
          <w:rFonts w:ascii="Times New Roman" w:hAnsi="Times New Roman"/>
          <w:i/>
          <w:color w:val="1E293B"/>
          <w:sz w:val="21"/>
        </w:rPr>
        <w:t>Portal B2C: Sistema de Reserva de Citas en Tiempo Real</w:t>
      </w:r>
    </w:p>
    <w:p>
      <w:pPr>
        <w:spacing w:before="0" w:after="80"/>
        <w:jc w:val="center"/>
      </w:pPr>
      <w:r>
        <w:drawing>
          <wp:inline xmlns:a="http://schemas.openxmlformats.org/drawingml/2006/main" xmlns:pic="http://schemas.openxmlformats.org/drawingml/2006/picture">
            <wp:extent cx="5303520" cy="2788731"/>
            <wp:docPr id="5" name="Picture 5"/>
            <wp:cNvGraphicFramePr>
              <a:graphicFrameLocks noChangeAspect="1"/>
            </wp:cNvGraphicFramePr>
            <a:graphic>
              <a:graphicData uri="http://schemas.openxmlformats.org/drawingml/2006/picture">
                <pic:pic>
                  <pic:nvPicPr>
                    <pic:cNvPr id="0" name="image4.png"/>
                    <pic:cNvPicPr/>
                  </pic:nvPicPr>
                  <pic:blipFill>
                    <a:blip r:embed="rId15"/>
                    <a:stretch>
                      <a:fillRect/>
                    </a:stretch>
                  </pic:blipFill>
                  <pic:spPr>
                    <a:xfrm>
                      <a:off x="0" y="0"/>
                      <a:ext cx="5303520" cy="2788731"/>
                    </a:xfrm>
                    <a:prstGeom prst="rect"/>
                  </pic:spPr>
                </pic:pic>
              </a:graphicData>
            </a:graphic>
          </wp:inline>
        </w:drawing>
      </w:r>
    </w:p>
    <w:p>
      <w:pPr>
        <w:spacing w:before="0" w:after="280"/>
      </w:pPr>
      <w:r>
        <w:rPr>
          <w:rFonts w:ascii="Times New Roman" w:hAnsi="Times New Roman"/>
          <w:i/>
          <w:color w:val="475569"/>
          <w:sz w:val="19"/>
        </w:rPr>
        <w:t xml:space="preserve">Nota. </w:t>
      </w:r>
      <w:r>
        <w:rPr>
          <w:rFonts w:ascii="Times New Roman" w:hAnsi="Times New Roman"/>
          <w:color w:val="475569"/>
          <w:sz w:val="19"/>
        </w:rPr>
        <w:t>Selector dinámico de sucursal, especialista asignado, fecha del calendario y matriz de franjas horarias disponibles.</w:t>
      </w:r>
    </w:p>
    <w:p>
      <w:pPr>
        <w:keepNext/>
        <w:spacing w:before="280" w:after="40"/>
      </w:pPr>
      <w:r>
        <w:rPr>
          <w:rFonts w:ascii="Times New Roman" w:hAnsi="Times New Roman"/>
          <w:b/>
          <w:color w:val="2F4A34"/>
          <w:sz w:val="21"/>
        </w:rPr>
        <w:t>Figura 6</w:t>
      </w:r>
    </w:p>
    <w:p>
      <w:pPr>
        <w:keepNext/>
        <w:spacing w:before="0" w:after="120"/>
      </w:pPr>
      <w:r>
        <w:rPr>
          <w:rFonts w:ascii="Times New Roman" w:hAnsi="Times New Roman"/>
          <w:i/>
          <w:color w:val="1E293B"/>
          <w:sz w:val="21"/>
        </w:rPr>
        <w:t>Portal B2C: Galería Multimedia de Trabajos y Tendencias</w:t>
      </w:r>
    </w:p>
    <w:p>
      <w:pPr>
        <w:spacing w:before="0" w:after="80"/>
        <w:jc w:val="center"/>
      </w:pPr>
      <w:r>
        <w:drawing>
          <wp:inline xmlns:a="http://schemas.openxmlformats.org/drawingml/2006/main" xmlns:pic="http://schemas.openxmlformats.org/drawingml/2006/picture">
            <wp:extent cx="5303520" cy="2317551"/>
            <wp:docPr id="6" name="Picture 6"/>
            <wp:cNvGraphicFramePr>
              <a:graphicFrameLocks noChangeAspect="1"/>
            </wp:cNvGraphicFramePr>
            <a:graphic>
              <a:graphicData uri="http://schemas.openxmlformats.org/drawingml/2006/picture">
                <pic:pic>
                  <pic:nvPicPr>
                    <pic:cNvPr id="0" name="image5.png"/>
                    <pic:cNvPicPr/>
                  </pic:nvPicPr>
                  <pic:blipFill>
                    <a:blip r:embed="rId16"/>
                    <a:stretch>
                      <a:fillRect/>
                    </a:stretch>
                  </pic:blipFill>
                  <pic:spPr>
                    <a:xfrm>
                      <a:off x="0" y="0"/>
                      <a:ext cx="5303520" cy="2317551"/>
                    </a:xfrm>
                    <a:prstGeom prst="rect"/>
                  </pic:spPr>
                </pic:pic>
              </a:graphicData>
            </a:graphic>
          </wp:inline>
        </w:drawing>
      </w:r>
    </w:p>
    <w:p>
      <w:pPr>
        <w:spacing w:before="0" w:after="280"/>
      </w:pPr>
      <w:r>
        <w:rPr>
          <w:rFonts w:ascii="Times New Roman" w:hAnsi="Times New Roman"/>
          <w:i/>
          <w:color w:val="475569"/>
          <w:sz w:val="19"/>
        </w:rPr>
        <w:t xml:space="preserve">Nota. </w:t>
      </w:r>
      <w:r>
        <w:rPr>
          <w:rFonts w:ascii="Times New Roman" w:hAnsi="Times New Roman"/>
          <w:color w:val="475569"/>
          <w:sz w:val="19"/>
        </w:rPr>
        <w:t>Portafolio fotográfico de acabados y estilos de diseño de uñas ejecutados por el equipo profesional.</w:t>
      </w:r>
    </w:p>
    <w:p>
      <w:pPr>
        <w:keepNext/>
        <w:spacing w:before="280" w:after="40"/>
      </w:pPr>
      <w:r>
        <w:rPr>
          <w:rFonts w:ascii="Times New Roman" w:hAnsi="Times New Roman"/>
          <w:b/>
          <w:color w:val="2F4A34"/>
          <w:sz w:val="21"/>
        </w:rPr>
        <w:t>Figura 7</w:t>
      </w:r>
    </w:p>
    <w:p>
      <w:pPr>
        <w:keepNext/>
        <w:spacing w:before="0" w:after="120"/>
      </w:pPr>
      <w:r>
        <w:rPr>
          <w:rFonts w:ascii="Times New Roman" w:hAnsi="Times New Roman"/>
          <w:i/>
          <w:color w:val="1E293B"/>
          <w:sz w:val="21"/>
        </w:rPr>
        <w:t>Portal B2C: Red de Sucursales y Horarios de Atención</w:t>
      </w:r>
    </w:p>
    <w:p>
      <w:pPr>
        <w:spacing w:before="0" w:after="80"/>
        <w:jc w:val="center"/>
      </w:pPr>
      <w:r>
        <w:drawing>
          <wp:inline xmlns:a="http://schemas.openxmlformats.org/drawingml/2006/main" xmlns:pic="http://schemas.openxmlformats.org/drawingml/2006/picture">
            <wp:extent cx="5303520" cy="2319586"/>
            <wp:docPr id="7" name="Picture 7"/>
            <wp:cNvGraphicFramePr>
              <a:graphicFrameLocks noChangeAspect="1"/>
            </wp:cNvGraphicFramePr>
            <a:graphic>
              <a:graphicData uri="http://schemas.openxmlformats.org/drawingml/2006/picture">
                <pic:pic>
                  <pic:nvPicPr>
                    <pic:cNvPr id="0" name="image6.png"/>
                    <pic:cNvPicPr/>
                  </pic:nvPicPr>
                  <pic:blipFill>
                    <a:blip r:embed="rId17"/>
                    <a:stretch>
                      <a:fillRect/>
                    </a:stretch>
                  </pic:blipFill>
                  <pic:spPr>
                    <a:xfrm>
                      <a:off x="0" y="0"/>
                      <a:ext cx="5303520" cy="2319586"/>
                    </a:xfrm>
                    <a:prstGeom prst="rect"/>
                  </pic:spPr>
                </pic:pic>
              </a:graphicData>
            </a:graphic>
          </wp:inline>
        </w:drawing>
      </w:r>
    </w:p>
    <w:p>
      <w:pPr>
        <w:spacing w:before="0" w:after="280"/>
      </w:pPr>
      <w:r>
        <w:rPr>
          <w:rFonts w:ascii="Times New Roman" w:hAnsi="Times New Roman"/>
          <w:i/>
          <w:color w:val="475569"/>
          <w:sz w:val="19"/>
        </w:rPr>
        <w:t xml:space="preserve">Nota. </w:t>
      </w:r>
      <w:r>
        <w:rPr>
          <w:rFonts w:ascii="Times New Roman" w:hAnsi="Times New Roman"/>
          <w:color w:val="475569"/>
          <w:sz w:val="19"/>
        </w:rPr>
        <w:t>Ficha técnica de las sedes operativas con ubicación geográfica, números de contacto y horarios de funcionamiento.</w:t>
      </w:r>
    </w:p>
    <w:p>
      <w:pPr>
        <w:keepNext/>
        <w:spacing w:before="280" w:after="40"/>
      </w:pPr>
      <w:r>
        <w:rPr>
          <w:rFonts w:ascii="Times New Roman" w:hAnsi="Times New Roman"/>
          <w:b/>
          <w:color w:val="2F4A34"/>
          <w:sz w:val="21"/>
        </w:rPr>
        <w:t>Figura 8</w:t>
      </w:r>
    </w:p>
    <w:p>
      <w:pPr>
        <w:keepNext/>
        <w:spacing w:before="0" w:after="120"/>
      </w:pPr>
      <w:r>
        <w:rPr>
          <w:rFonts w:ascii="Times New Roman" w:hAnsi="Times New Roman"/>
          <w:i/>
          <w:color w:val="1E293B"/>
          <w:sz w:val="21"/>
        </w:rPr>
        <w:t>Portal B2C: Formulario de Contacto y Canales de Comunicación</w:t>
      </w:r>
    </w:p>
    <w:p>
      <w:pPr>
        <w:spacing w:before="0" w:after="80"/>
        <w:jc w:val="center"/>
      </w:pPr>
      <w:r>
        <w:drawing>
          <wp:inline xmlns:a="http://schemas.openxmlformats.org/drawingml/2006/main" xmlns:pic="http://schemas.openxmlformats.org/drawingml/2006/picture">
            <wp:extent cx="5303520" cy="2323029"/>
            <wp:docPr id="8" name="Picture 8"/>
            <wp:cNvGraphicFramePr>
              <a:graphicFrameLocks noChangeAspect="1"/>
            </wp:cNvGraphicFramePr>
            <a:graphic>
              <a:graphicData uri="http://schemas.openxmlformats.org/drawingml/2006/picture">
                <pic:pic>
                  <pic:nvPicPr>
                    <pic:cNvPr id="0" name="image7.png"/>
                    <pic:cNvPicPr/>
                  </pic:nvPicPr>
                  <pic:blipFill>
                    <a:blip r:embed="rId18"/>
                    <a:stretch>
                      <a:fillRect/>
                    </a:stretch>
                  </pic:blipFill>
                  <pic:spPr>
                    <a:xfrm>
                      <a:off x="0" y="0"/>
                      <a:ext cx="5303520" cy="2323029"/>
                    </a:xfrm>
                    <a:prstGeom prst="rect"/>
                  </pic:spPr>
                </pic:pic>
              </a:graphicData>
            </a:graphic>
          </wp:inline>
        </w:drawing>
      </w:r>
    </w:p>
    <w:p>
      <w:pPr>
        <w:spacing w:before="0" w:after="280"/>
      </w:pPr>
      <w:r>
        <w:rPr>
          <w:rFonts w:ascii="Times New Roman" w:hAnsi="Times New Roman"/>
          <w:i/>
          <w:color w:val="475569"/>
          <w:sz w:val="19"/>
        </w:rPr>
        <w:t xml:space="preserve">Nota. </w:t>
      </w:r>
      <w:r>
        <w:rPr>
          <w:rFonts w:ascii="Times New Roman" w:hAnsi="Times New Roman"/>
          <w:color w:val="475569"/>
          <w:sz w:val="19"/>
        </w:rPr>
        <w:t>Módulo de interacción directa con validación de campos, canal de WhatsApp y enlaces a redes sociales oficiales.</w:t>
      </w:r>
    </w:p>
    <w:p>
      <w:pPr>
        <w:keepNext/>
        <w:spacing w:before="280" w:after="40"/>
      </w:pPr>
      <w:r>
        <w:rPr>
          <w:rFonts w:ascii="Times New Roman" w:hAnsi="Times New Roman"/>
          <w:b/>
          <w:color w:val="2F4A34"/>
          <w:sz w:val="21"/>
        </w:rPr>
        <w:t>Figura 9</w:t>
      </w:r>
    </w:p>
    <w:p>
      <w:pPr>
        <w:keepNext/>
        <w:spacing w:before="0" w:after="120"/>
      </w:pPr>
      <w:r>
        <w:rPr>
          <w:rFonts w:ascii="Times New Roman" w:hAnsi="Times New Roman"/>
          <w:i/>
          <w:color w:val="1E293B"/>
          <w:sz w:val="21"/>
        </w:rPr>
        <w:t>Portal B2C: Bolsa de Empleo: Trabaja con Nosotros</w:t>
      </w:r>
    </w:p>
    <w:p>
      <w:pPr>
        <w:spacing w:before="0" w:after="80"/>
        <w:jc w:val="center"/>
      </w:pPr>
      <w:r>
        <w:drawing>
          <wp:inline xmlns:a="http://schemas.openxmlformats.org/drawingml/2006/main" xmlns:pic="http://schemas.openxmlformats.org/drawingml/2006/picture">
            <wp:extent cx="5303520" cy="2317551"/>
            <wp:docPr id="9" name="Picture 9"/>
            <wp:cNvGraphicFramePr>
              <a:graphicFrameLocks noChangeAspect="1"/>
            </wp:cNvGraphicFramePr>
            <a:graphic>
              <a:graphicData uri="http://schemas.openxmlformats.org/drawingml/2006/picture">
                <pic:pic>
                  <pic:nvPicPr>
                    <pic:cNvPr id="0" name="image8.png"/>
                    <pic:cNvPicPr/>
                  </pic:nvPicPr>
                  <pic:blipFill>
                    <a:blip r:embed="rId19"/>
                    <a:stretch>
                      <a:fillRect/>
                    </a:stretch>
                  </pic:blipFill>
                  <pic:spPr>
                    <a:xfrm>
                      <a:off x="0" y="0"/>
                      <a:ext cx="5303520" cy="2317551"/>
                    </a:xfrm>
                    <a:prstGeom prst="rect"/>
                  </pic:spPr>
                </pic:pic>
              </a:graphicData>
            </a:graphic>
          </wp:inline>
        </w:drawing>
      </w:r>
    </w:p>
    <w:p>
      <w:pPr>
        <w:spacing w:before="0" w:after="280"/>
      </w:pPr>
      <w:r>
        <w:rPr>
          <w:rFonts w:ascii="Times New Roman" w:hAnsi="Times New Roman"/>
          <w:i/>
          <w:color w:val="475569"/>
          <w:sz w:val="19"/>
        </w:rPr>
        <w:t xml:space="preserve">Nota. </w:t>
      </w:r>
      <w:r>
        <w:rPr>
          <w:rFonts w:ascii="Times New Roman" w:hAnsi="Times New Roman"/>
          <w:color w:val="475569"/>
          <w:sz w:val="19"/>
        </w:rPr>
        <w:t>Formulario para postulaciones de especialistas en estética con captura de datos personales y subida de Curriculum Vitae.</w:t>
      </w:r>
    </w:p>
    <w:p>
      <w:pPr>
        <w:keepNext/>
        <w:spacing w:before="280" w:after="40"/>
      </w:pPr>
      <w:r>
        <w:rPr>
          <w:rFonts w:ascii="Times New Roman" w:hAnsi="Times New Roman"/>
          <w:b/>
          <w:color w:val="2F4A34"/>
          <w:sz w:val="21"/>
        </w:rPr>
        <w:t>Figura 10</w:t>
      </w:r>
    </w:p>
    <w:p>
      <w:pPr>
        <w:keepNext/>
        <w:spacing w:before="0" w:after="120"/>
      </w:pPr>
      <w:r>
        <w:rPr>
          <w:rFonts w:ascii="Times New Roman" w:hAnsi="Times New Roman"/>
          <w:i/>
          <w:color w:val="1E293B"/>
          <w:sz w:val="21"/>
        </w:rPr>
        <w:t>Portal B2C: Portal de Autoservicio: Mi Cuenta y Gestión de Citas</w:t>
      </w:r>
    </w:p>
    <w:p>
      <w:pPr>
        <w:spacing w:before="0" w:after="80"/>
        <w:jc w:val="center"/>
      </w:pPr>
      <w:r>
        <w:drawing>
          <wp:inline xmlns:a="http://schemas.openxmlformats.org/drawingml/2006/main" xmlns:pic="http://schemas.openxmlformats.org/drawingml/2006/picture">
            <wp:extent cx="5303520" cy="2785744"/>
            <wp:docPr id="10" name="Picture 10"/>
            <wp:cNvGraphicFramePr>
              <a:graphicFrameLocks noChangeAspect="1"/>
            </wp:cNvGraphicFramePr>
            <a:graphic>
              <a:graphicData uri="http://schemas.openxmlformats.org/drawingml/2006/picture">
                <pic:pic>
                  <pic:nvPicPr>
                    <pic:cNvPr id="0" name="image9.png"/>
                    <pic:cNvPicPr/>
                  </pic:nvPicPr>
                  <pic:blipFill>
                    <a:blip r:embed="rId20"/>
                    <a:stretch>
                      <a:fillRect/>
                    </a:stretch>
                  </pic:blipFill>
                  <pic:spPr>
                    <a:xfrm>
                      <a:off x="0" y="0"/>
                      <a:ext cx="5303520" cy="2785744"/>
                    </a:xfrm>
                    <a:prstGeom prst="rect"/>
                  </pic:spPr>
                </pic:pic>
              </a:graphicData>
            </a:graphic>
          </wp:inline>
        </w:drawing>
      </w:r>
    </w:p>
    <w:p>
      <w:pPr>
        <w:spacing w:before="0" w:after="280"/>
      </w:pPr>
      <w:r>
        <w:rPr>
          <w:rFonts w:ascii="Times New Roman" w:hAnsi="Times New Roman"/>
          <w:i/>
          <w:color w:val="475569"/>
          <w:sz w:val="19"/>
        </w:rPr>
        <w:t xml:space="preserve">Nota. </w:t>
      </w:r>
      <w:r>
        <w:rPr>
          <w:rFonts w:ascii="Times New Roman" w:hAnsi="Times New Roman"/>
          <w:color w:val="475569"/>
          <w:sz w:val="19"/>
        </w:rPr>
        <w:t>Espacio privado para que los clientes consulten el estado de sus reservas (Pendiente, Confirmada, Completada) e historial.</w:t>
      </w:r>
    </w:p>
    <w:p>
      <w:pPr>
        <w:keepNext/>
        <w:spacing w:before="360" w:after="160"/>
        <w:jc w:val="left"/>
      </w:pPr>
      <w:r>
        <w:rPr>
          <w:rFonts w:ascii="Times New Roman" w:hAnsi="Times New Roman"/>
          <w:b/>
          <w:color w:val="2F4A34"/>
          <w:sz w:val="28"/>
        </w:rPr>
        <w:t>4. Intranet Corporativa B2E: Gestión Operativa y Balanced Scorecard</w:t>
      </w:r>
    </w:p>
    <w:p>
      <w:pPr>
        <w:spacing w:line="276" w:lineRule="auto" w:after="120"/>
        <w:jc w:val="both"/>
      </w:pPr>
      <w:r>
        <w:rPr>
          <w:rFonts w:ascii="Times New Roman" w:hAnsi="Times New Roman"/>
          <w:color w:val="1E293B"/>
          <w:sz w:val="22"/>
        </w:rPr>
        <w:t>La Intranet Corporativa provee a la gerencia y a los colaboradores una plataforma centralizada de gestión con control de acceso basado en roles (RBAC). A continuación se detallan los módulos principales a partir de las capturas en vivo obtenidas del panel operativo:</w:t>
      </w:r>
    </w:p>
    <w:p>
      <w:pPr>
        <w:keepNext/>
        <w:spacing w:before="280" w:after="40"/>
      </w:pPr>
      <w:r>
        <w:rPr>
          <w:rFonts w:ascii="Times New Roman" w:hAnsi="Times New Roman"/>
          <w:b/>
          <w:color w:val="2F4A34"/>
          <w:sz w:val="21"/>
        </w:rPr>
        <w:t>Figura 11</w:t>
      </w:r>
    </w:p>
    <w:p>
      <w:pPr>
        <w:keepNext/>
        <w:spacing w:before="0" w:after="120"/>
      </w:pPr>
      <w:r>
        <w:rPr>
          <w:rFonts w:ascii="Times New Roman" w:hAnsi="Times New Roman"/>
          <w:i/>
          <w:color w:val="1E293B"/>
          <w:sz w:val="21"/>
        </w:rPr>
        <w:t>Intranet B2E: Dashboard Administrativo y Métricas Clave</w:t>
      </w:r>
    </w:p>
    <w:p>
      <w:pPr>
        <w:spacing w:before="0" w:after="80"/>
        <w:jc w:val="center"/>
      </w:pPr>
      <w:r>
        <w:drawing>
          <wp:inline xmlns:a="http://schemas.openxmlformats.org/drawingml/2006/main" xmlns:pic="http://schemas.openxmlformats.org/drawingml/2006/picture">
            <wp:extent cx="5303520" cy="2848570"/>
            <wp:docPr id="11" name="Picture 11"/>
            <wp:cNvGraphicFramePr>
              <a:graphicFrameLocks noChangeAspect="1"/>
            </wp:cNvGraphicFramePr>
            <a:graphic>
              <a:graphicData uri="http://schemas.openxmlformats.org/drawingml/2006/picture">
                <pic:pic>
                  <pic:nvPicPr>
                    <pic:cNvPr id="0" name="media_1789433893510.png"/>
                    <pic:cNvPicPr/>
                  </pic:nvPicPr>
                  <pic:blipFill>
                    <a:blip r:embed="rId21"/>
                    <a:stretch>
                      <a:fillRect/>
                    </a:stretch>
                  </pic:blipFill>
                  <pic:spPr>
                    <a:xfrm>
                      <a:off x="0" y="0"/>
                      <a:ext cx="5303520" cy="2848570"/>
                    </a:xfrm>
                    <a:prstGeom prst="rect"/>
                  </pic:spPr>
                </pic:pic>
              </a:graphicData>
            </a:graphic>
          </wp:inline>
        </w:drawing>
      </w:r>
    </w:p>
    <w:p>
      <w:pPr>
        <w:spacing w:before="0" w:after="280"/>
      </w:pPr>
      <w:r>
        <w:rPr>
          <w:rFonts w:ascii="Times New Roman" w:hAnsi="Times New Roman"/>
          <w:i/>
          <w:color w:val="475569"/>
          <w:sz w:val="19"/>
        </w:rPr>
        <w:t xml:space="preserve">Nota. </w:t>
      </w:r>
      <w:r>
        <w:rPr>
          <w:rFonts w:ascii="Times New Roman" w:hAnsi="Times New Roman"/>
          <w:color w:val="475569"/>
          <w:sz w:val="19"/>
        </w:rPr>
        <w:t>Panel de control con indicadores de citas totales, atenciones del día, ingresos proyectados y alertas operativas.</w:t>
      </w:r>
    </w:p>
    <w:p>
      <w:pPr>
        <w:keepNext/>
        <w:spacing w:before="280" w:after="40"/>
      </w:pPr>
      <w:r>
        <w:rPr>
          <w:rFonts w:ascii="Times New Roman" w:hAnsi="Times New Roman"/>
          <w:b/>
          <w:color w:val="2F4A34"/>
          <w:sz w:val="21"/>
        </w:rPr>
        <w:t>Figura 12</w:t>
      </w:r>
    </w:p>
    <w:p>
      <w:pPr>
        <w:keepNext/>
        <w:spacing w:before="0" w:after="120"/>
      </w:pPr>
      <w:r>
        <w:rPr>
          <w:rFonts w:ascii="Times New Roman" w:hAnsi="Times New Roman"/>
          <w:i/>
          <w:color w:val="1E293B"/>
          <w:sz w:val="21"/>
        </w:rPr>
        <w:t>Intranet B2E: Balanced Scorecard (BSC): Cuadro de Mando Integral</w:t>
      </w:r>
    </w:p>
    <w:p>
      <w:pPr>
        <w:spacing w:before="0" w:after="80"/>
        <w:jc w:val="center"/>
      </w:pPr>
      <w:r>
        <w:drawing>
          <wp:inline xmlns:a="http://schemas.openxmlformats.org/drawingml/2006/main" xmlns:pic="http://schemas.openxmlformats.org/drawingml/2006/picture">
            <wp:extent cx="5303520" cy="2848570"/>
            <wp:docPr id="12" name="Picture 12"/>
            <wp:cNvGraphicFramePr>
              <a:graphicFrameLocks noChangeAspect="1"/>
            </wp:cNvGraphicFramePr>
            <a:graphic>
              <a:graphicData uri="http://schemas.openxmlformats.org/drawingml/2006/picture">
                <pic:pic>
                  <pic:nvPicPr>
                    <pic:cNvPr id="0" name="media_1789433913722.png"/>
                    <pic:cNvPicPr/>
                  </pic:nvPicPr>
                  <pic:blipFill>
                    <a:blip r:embed="rId22"/>
                    <a:stretch>
                      <a:fillRect/>
                    </a:stretch>
                  </pic:blipFill>
                  <pic:spPr>
                    <a:xfrm>
                      <a:off x="0" y="0"/>
                      <a:ext cx="5303520" cy="2848570"/>
                    </a:xfrm>
                    <a:prstGeom prst="rect"/>
                  </pic:spPr>
                </pic:pic>
              </a:graphicData>
            </a:graphic>
          </wp:inline>
        </w:drawing>
      </w:r>
    </w:p>
    <w:p>
      <w:pPr>
        <w:spacing w:before="0" w:after="280"/>
      </w:pPr>
      <w:r>
        <w:rPr>
          <w:rFonts w:ascii="Times New Roman" w:hAnsi="Times New Roman"/>
          <w:i/>
          <w:color w:val="475569"/>
          <w:sz w:val="19"/>
        </w:rPr>
        <w:t xml:space="preserve">Nota. </w:t>
      </w:r>
      <w:r>
        <w:rPr>
          <w:rFonts w:ascii="Times New Roman" w:hAnsi="Times New Roman"/>
          <w:color w:val="475569"/>
          <w:sz w:val="19"/>
        </w:rPr>
        <w:t>Visualización estratégica de las 4 perspectivas (Financiera, Clientes, Procesos Internos y Aprendizaje) con semaforización verde/amarillo/rojo.</w:t>
      </w:r>
    </w:p>
    <w:p>
      <w:pPr>
        <w:keepNext/>
        <w:spacing w:before="280" w:after="40"/>
      </w:pPr>
      <w:r>
        <w:rPr>
          <w:rFonts w:ascii="Times New Roman" w:hAnsi="Times New Roman"/>
          <w:b/>
          <w:color w:val="2F4A34"/>
          <w:sz w:val="21"/>
        </w:rPr>
        <w:t>Figura 13</w:t>
      </w:r>
    </w:p>
    <w:p>
      <w:pPr>
        <w:keepNext/>
        <w:spacing w:before="0" w:after="120"/>
      </w:pPr>
      <w:r>
        <w:rPr>
          <w:rFonts w:ascii="Times New Roman" w:hAnsi="Times New Roman"/>
          <w:i/>
          <w:color w:val="1E293B"/>
          <w:sz w:val="21"/>
        </w:rPr>
        <w:t>Intranet B2E: Tablero de Comandos e Indicadores Estratégicos</w:t>
      </w:r>
    </w:p>
    <w:p>
      <w:pPr>
        <w:spacing w:before="0" w:after="80"/>
        <w:jc w:val="center"/>
      </w:pPr>
      <w:r>
        <w:drawing>
          <wp:inline xmlns:a="http://schemas.openxmlformats.org/drawingml/2006/main" xmlns:pic="http://schemas.openxmlformats.org/drawingml/2006/picture">
            <wp:extent cx="5303520" cy="2848570"/>
            <wp:docPr id="13" name="Picture 13"/>
            <wp:cNvGraphicFramePr>
              <a:graphicFrameLocks noChangeAspect="1"/>
            </wp:cNvGraphicFramePr>
            <a:graphic>
              <a:graphicData uri="http://schemas.openxmlformats.org/drawingml/2006/picture">
                <pic:pic>
                  <pic:nvPicPr>
                    <pic:cNvPr id="0" name="media_1789433925088.png"/>
                    <pic:cNvPicPr/>
                  </pic:nvPicPr>
                  <pic:blipFill>
                    <a:blip r:embed="rId23"/>
                    <a:stretch>
                      <a:fillRect/>
                    </a:stretch>
                  </pic:blipFill>
                  <pic:spPr>
                    <a:xfrm>
                      <a:off x="0" y="0"/>
                      <a:ext cx="5303520" cy="2848570"/>
                    </a:xfrm>
                    <a:prstGeom prst="rect"/>
                  </pic:spPr>
                </pic:pic>
              </a:graphicData>
            </a:graphic>
          </wp:inline>
        </w:drawing>
      </w:r>
    </w:p>
    <w:p>
      <w:pPr>
        <w:spacing w:before="0" w:after="280"/>
      </w:pPr>
      <w:r>
        <w:rPr>
          <w:rFonts w:ascii="Times New Roman" w:hAnsi="Times New Roman"/>
          <w:i/>
          <w:color w:val="475569"/>
          <w:sz w:val="19"/>
        </w:rPr>
        <w:t xml:space="preserve">Nota. </w:t>
      </w:r>
      <w:r>
        <w:rPr>
          <w:rFonts w:ascii="Times New Roman" w:hAnsi="Times New Roman"/>
          <w:color w:val="475569"/>
          <w:sz w:val="19"/>
        </w:rPr>
        <w:t>Consola de seguimiento de metas operativas con valor actual, umbrales de cumplimiento y responsables de área.</w:t>
      </w:r>
    </w:p>
    <w:p>
      <w:pPr>
        <w:keepNext/>
        <w:spacing w:before="280" w:after="40"/>
      </w:pPr>
      <w:r>
        <w:rPr>
          <w:rFonts w:ascii="Times New Roman" w:hAnsi="Times New Roman"/>
          <w:b/>
          <w:color w:val="2F4A34"/>
          <w:sz w:val="21"/>
        </w:rPr>
        <w:t>Figura 14</w:t>
      </w:r>
    </w:p>
    <w:p>
      <w:pPr>
        <w:keepNext/>
        <w:spacing w:before="0" w:after="120"/>
      </w:pPr>
      <w:r>
        <w:rPr>
          <w:rFonts w:ascii="Times New Roman" w:hAnsi="Times New Roman"/>
          <w:i/>
          <w:color w:val="1E293B"/>
          <w:sz w:val="21"/>
        </w:rPr>
        <w:t>Intranet B2E: Módulo de Gestión de Servicios y Tarifas</w:t>
      </w:r>
    </w:p>
    <w:p>
      <w:pPr>
        <w:spacing w:before="0" w:after="80"/>
        <w:jc w:val="center"/>
      </w:pPr>
      <w:r>
        <w:drawing>
          <wp:inline xmlns:a="http://schemas.openxmlformats.org/drawingml/2006/main" xmlns:pic="http://schemas.openxmlformats.org/drawingml/2006/picture">
            <wp:extent cx="5303520" cy="2848570"/>
            <wp:docPr id="14" name="Picture 14"/>
            <wp:cNvGraphicFramePr>
              <a:graphicFrameLocks noChangeAspect="1"/>
            </wp:cNvGraphicFramePr>
            <a:graphic>
              <a:graphicData uri="http://schemas.openxmlformats.org/drawingml/2006/picture">
                <pic:pic>
                  <pic:nvPicPr>
                    <pic:cNvPr id="0" name="media_1789433940599.png"/>
                    <pic:cNvPicPr/>
                  </pic:nvPicPr>
                  <pic:blipFill>
                    <a:blip r:embed="rId24"/>
                    <a:stretch>
                      <a:fillRect/>
                    </a:stretch>
                  </pic:blipFill>
                  <pic:spPr>
                    <a:xfrm>
                      <a:off x="0" y="0"/>
                      <a:ext cx="5303520" cy="2848570"/>
                    </a:xfrm>
                    <a:prstGeom prst="rect"/>
                  </pic:spPr>
                </pic:pic>
              </a:graphicData>
            </a:graphic>
          </wp:inline>
        </w:drawing>
      </w:r>
    </w:p>
    <w:p>
      <w:pPr>
        <w:spacing w:before="0" w:after="280"/>
      </w:pPr>
      <w:r>
        <w:rPr>
          <w:rFonts w:ascii="Times New Roman" w:hAnsi="Times New Roman"/>
          <w:i/>
          <w:color w:val="475569"/>
          <w:sz w:val="19"/>
        </w:rPr>
        <w:t xml:space="preserve">Nota. </w:t>
      </w:r>
      <w:r>
        <w:rPr>
          <w:rFonts w:ascii="Times New Roman" w:hAnsi="Times New Roman"/>
          <w:color w:val="475569"/>
          <w:sz w:val="19"/>
        </w:rPr>
        <w:t>Interfaz para creación, edición y activación de servicios estéticos, asignación de categorías y precios vigentes.</w:t>
      </w:r>
    </w:p>
    <w:p>
      <w:pPr>
        <w:keepNext/>
        <w:spacing w:before="280" w:after="40"/>
      </w:pPr>
      <w:r>
        <w:rPr>
          <w:rFonts w:ascii="Times New Roman" w:hAnsi="Times New Roman"/>
          <w:b/>
          <w:color w:val="2F4A34"/>
          <w:sz w:val="21"/>
        </w:rPr>
        <w:t>Figura 15</w:t>
      </w:r>
    </w:p>
    <w:p>
      <w:pPr>
        <w:keepNext/>
        <w:spacing w:before="0" w:after="120"/>
      </w:pPr>
      <w:r>
        <w:rPr>
          <w:rFonts w:ascii="Times New Roman" w:hAnsi="Times New Roman"/>
          <w:i/>
          <w:color w:val="1E293B"/>
          <w:sz w:val="21"/>
        </w:rPr>
        <w:t>Intranet B2E: Módulo de Sucursales y Sedes Físicas</w:t>
      </w:r>
    </w:p>
    <w:p>
      <w:pPr>
        <w:spacing w:before="0" w:after="80"/>
        <w:jc w:val="center"/>
      </w:pPr>
      <w:r>
        <w:drawing>
          <wp:inline xmlns:a="http://schemas.openxmlformats.org/drawingml/2006/main" xmlns:pic="http://schemas.openxmlformats.org/drawingml/2006/picture">
            <wp:extent cx="5303520" cy="2848570"/>
            <wp:docPr id="15" name="Picture 15"/>
            <wp:cNvGraphicFramePr>
              <a:graphicFrameLocks noChangeAspect="1"/>
            </wp:cNvGraphicFramePr>
            <a:graphic>
              <a:graphicData uri="http://schemas.openxmlformats.org/drawingml/2006/picture">
                <pic:pic>
                  <pic:nvPicPr>
                    <pic:cNvPr id="0" name="media_1789433950046.png"/>
                    <pic:cNvPicPr/>
                  </pic:nvPicPr>
                  <pic:blipFill>
                    <a:blip r:embed="rId25"/>
                    <a:stretch>
                      <a:fillRect/>
                    </a:stretch>
                  </pic:blipFill>
                  <pic:spPr>
                    <a:xfrm>
                      <a:off x="0" y="0"/>
                      <a:ext cx="5303520" cy="2848570"/>
                    </a:xfrm>
                    <a:prstGeom prst="rect"/>
                  </pic:spPr>
                </pic:pic>
              </a:graphicData>
            </a:graphic>
          </wp:inline>
        </w:drawing>
      </w:r>
    </w:p>
    <w:p>
      <w:pPr>
        <w:spacing w:before="0" w:after="280"/>
      </w:pPr>
      <w:r>
        <w:rPr>
          <w:rFonts w:ascii="Times New Roman" w:hAnsi="Times New Roman"/>
          <w:i/>
          <w:color w:val="475569"/>
          <w:sz w:val="19"/>
        </w:rPr>
        <w:t xml:space="preserve">Nota. </w:t>
      </w:r>
      <w:r>
        <w:rPr>
          <w:rFonts w:ascii="Times New Roman" w:hAnsi="Times New Roman"/>
          <w:color w:val="475569"/>
          <w:sz w:val="19"/>
        </w:rPr>
        <w:t>Control de puntos de atención física con administración de direcciones, teléfonos de contacto y capacidad de atención.</w:t>
      </w:r>
    </w:p>
    <w:p>
      <w:pPr>
        <w:keepNext/>
        <w:spacing w:before="280" w:after="40"/>
      </w:pPr>
      <w:r>
        <w:rPr>
          <w:rFonts w:ascii="Times New Roman" w:hAnsi="Times New Roman"/>
          <w:b/>
          <w:color w:val="2F4A34"/>
          <w:sz w:val="21"/>
        </w:rPr>
        <w:t>Figura 16</w:t>
      </w:r>
    </w:p>
    <w:p>
      <w:pPr>
        <w:keepNext/>
        <w:spacing w:before="0" w:after="120"/>
      </w:pPr>
      <w:r>
        <w:rPr>
          <w:rFonts w:ascii="Times New Roman" w:hAnsi="Times New Roman"/>
          <w:i/>
          <w:color w:val="1E293B"/>
          <w:sz w:val="21"/>
        </w:rPr>
        <w:t>Intranet B2E: Auditoría y Gestión de Citas</w:t>
      </w:r>
    </w:p>
    <w:p>
      <w:pPr>
        <w:spacing w:before="0" w:after="80"/>
        <w:jc w:val="center"/>
      </w:pPr>
      <w:r>
        <w:drawing>
          <wp:inline xmlns:a="http://schemas.openxmlformats.org/drawingml/2006/main" xmlns:pic="http://schemas.openxmlformats.org/drawingml/2006/picture">
            <wp:extent cx="5303520" cy="2848570"/>
            <wp:docPr id="16" name="Picture 16"/>
            <wp:cNvGraphicFramePr>
              <a:graphicFrameLocks noChangeAspect="1"/>
            </wp:cNvGraphicFramePr>
            <a:graphic>
              <a:graphicData uri="http://schemas.openxmlformats.org/drawingml/2006/picture">
                <pic:pic>
                  <pic:nvPicPr>
                    <pic:cNvPr id="0" name="media_1789433974616.png"/>
                    <pic:cNvPicPr/>
                  </pic:nvPicPr>
                  <pic:blipFill>
                    <a:blip r:embed="rId26"/>
                    <a:stretch>
                      <a:fillRect/>
                    </a:stretch>
                  </pic:blipFill>
                  <pic:spPr>
                    <a:xfrm>
                      <a:off x="0" y="0"/>
                      <a:ext cx="5303520" cy="2848570"/>
                    </a:xfrm>
                    <a:prstGeom prst="rect"/>
                  </pic:spPr>
                </pic:pic>
              </a:graphicData>
            </a:graphic>
          </wp:inline>
        </w:drawing>
      </w:r>
    </w:p>
    <w:p>
      <w:pPr>
        <w:spacing w:before="0" w:after="280"/>
      </w:pPr>
      <w:r>
        <w:rPr>
          <w:rFonts w:ascii="Times New Roman" w:hAnsi="Times New Roman"/>
          <w:i/>
          <w:color w:val="475569"/>
          <w:sz w:val="19"/>
        </w:rPr>
        <w:t xml:space="preserve">Nota. </w:t>
      </w:r>
      <w:r>
        <w:rPr>
          <w:rFonts w:ascii="Times New Roman" w:hAnsi="Times New Roman"/>
          <w:color w:val="475569"/>
          <w:sz w:val="19"/>
        </w:rPr>
        <w:t>Listado centralizado de reservas con filtrado por estado, confirmación de citas y reprogramación asistida.</w:t>
      </w:r>
    </w:p>
    <w:p>
      <w:pPr>
        <w:keepNext/>
        <w:spacing w:before="280" w:after="40"/>
      </w:pPr>
      <w:r>
        <w:rPr>
          <w:rFonts w:ascii="Times New Roman" w:hAnsi="Times New Roman"/>
          <w:b/>
          <w:color w:val="2F4A34"/>
          <w:sz w:val="21"/>
        </w:rPr>
        <w:t>Figura 17</w:t>
      </w:r>
    </w:p>
    <w:p>
      <w:pPr>
        <w:keepNext/>
        <w:spacing w:before="0" w:after="120"/>
      </w:pPr>
      <w:r>
        <w:rPr>
          <w:rFonts w:ascii="Times New Roman" w:hAnsi="Times New Roman"/>
          <w:i/>
          <w:color w:val="1E293B"/>
          <w:sz w:val="21"/>
        </w:rPr>
        <w:t>Intranet B2E: Módulo de Clientes Registrados</w:t>
      </w:r>
    </w:p>
    <w:p>
      <w:pPr>
        <w:spacing w:before="0" w:after="80"/>
        <w:jc w:val="center"/>
      </w:pPr>
      <w:r>
        <w:drawing>
          <wp:inline xmlns:a="http://schemas.openxmlformats.org/drawingml/2006/main" xmlns:pic="http://schemas.openxmlformats.org/drawingml/2006/picture">
            <wp:extent cx="5303520" cy="2848570"/>
            <wp:docPr id="17" name="Picture 17"/>
            <wp:cNvGraphicFramePr>
              <a:graphicFrameLocks noChangeAspect="1"/>
            </wp:cNvGraphicFramePr>
            <a:graphic>
              <a:graphicData uri="http://schemas.openxmlformats.org/drawingml/2006/picture">
                <pic:pic>
                  <pic:nvPicPr>
                    <pic:cNvPr id="0" name="media_1789433983055.png"/>
                    <pic:cNvPicPr/>
                  </pic:nvPicPr>
                  <pic:blipFill>
                    <a:blip r:embed="rId27"/>
                    <a:stretch>
                      <a:fillRect/>
                    </a:stretch>
                  </pic:blipFill>
                  <pic:spPr>
                    <a:xfrm>
                      <a:off x="0" y="0"/>
                      <a:ext cx="5303520" cy="2848570"/>
                    </a:xfrm>
                    <a:prstGeom prst="rect"/>
                  </pic:spPr>
                </pic:pic>
              </a:graphicData>
            </a:graphic>
          </wp:inline>
        </w:drawing>
      </w:r>
    </w:p>
    <w:p>
      <w:pPr>
        <w:spacing w:before="0" w:after="280"/>
      </w:pPr>
      <w:r>
        <w:rPr>
          <w:rFonts w:ascii="Times New Roman" w:hAnsi="Times New Roman"/>
          <w:i/>
          <w:color w:val="475569"/>
          <w:sz w:val="19"/>
        </w:rPr>
        <w:t xml:space="preserve">Nota. </w:t>
      </w:r>
      <w:r>
        <w:rPr>
          <w:rFonts w:ascii="Times New Roman" w:hAnsi="Times New Roman"/>
          <w:color w:val="475569"/>
          <w:sz w:val="19"/>
        </w:rPr>
        <w:t>Directorio digital de clientes con datos de contacto, historial de visitas y registro de preferencias de atención.</w:t>
      </w:r>
    </w:p>
    <w:p>
      <w:pPr>
        <w:keepNext/>
        <w:spacing w:before="280" w:after="40"/>
      </w:pPr>
      <w:r>
        <w:rPr>
          <w:rFonts w:ascii="Times New Roman" w:hAnsi="Times New Roman"/>
          <w:b/>
          <w:color w:val="2F4A34"/>
          <w:sz w:val="21"/>
        </w:rPr>
        <w:t>Figura 18</w:t>
      </w:r>
    </w:p>
    <w:p>
      <w:pPr>
        <w:keepNext/>
        <w:spacing w:before="0" w:after="120"/>
      </w:pPr>
      <w:r>
        <w:rPr>
          <w:rFonts w:ascii="Times New Roman" w:hAnsi="Times New Roman"/>
          <w:i/>
          <w:color w:val="1E293B"/>
          <w:sz w:val="21"/>
        </w:rPr>
        <w:t>Intranet B2E: Historial Clínico y Trazabilidad de Atenciones</w:t>
      </w:r>
    </w:p>
    <w:p>
      <w:pPr>
        <w:spacing w:before="0" w:after="80"/>
        <w:jc w:val="center"/>
      </w:pPr>
      <w:r>
        <w:drawing>
          <wp:inline xmlns:a="http://schemas.openxmlformats.org/drawingml/2006/main" xmlns:pic="http://schemas.openxmlformats.org/drawingml/2006/picture">
            <wp:extent cx="5303520" cy="2848570"/>
            <wp:docPr id="18" name="Picture 18"/>
            <wp:cNvGraphicFramePr>
              <a:graphicFrameLocks noChangeAspect="1"/>
            </wp:cNvGraphicFramePr>
            <a:graphic>
              <a:graphicData uri="http://schemas.openxmlformats.org/drawingml/2006/picture">
                <pic:pic>
                  <pic:nvPicPr>
                    <pic:cNvPr id="0" name="media_1789433992144.png"/>
                    <pic:cNvPicPr/>
                  </pic:nvPicPr>
                  <pic:blipFill>
                    <a:blip r:embed="rId28"/>
                    <a:stretch>
                      <a:fillRect/>
                    </a:stretch>
                  </pic:blipFill>
                  <pic:spPr>
                    <a:xfrm>
                      <a:off x="0" y="0"/>
                      <a:ext cx="5303520" cy="2848570"/>
                    </a:xfrm>
                    <a:prstGeom prst="rect"/>
                  </pic:spPr>
                </pic:pic>
              </a:graphicData>
            </a:graphic>
          </wp:inline>
        </w:drawing>
      </w:r>
    </w:p>
    <w:p>
      <w:pPr>
        <w:spacing w:before="0" w:after="280"/>
      </w:pPr>
      <w:r>
        <w:rPr>
          <w:rFonts w:ascii="Times New Roman" w:hAnsi="Times New Roman"/>
          <w:i/>
          <w:color w:val="475569"/>
          <w:sz w:val="19"/>
        </w:rPr>
        <w:t xml:space="preserve">Nota. </w:t>
      </w:r>
      <w:r>
        <w:rPr>
          <w:rFonts w:ascii="Times New Roman" w:hAnsi="Times New Roman"/>
          <w:color w:val="475569"/>
          <w:sz w:val="19"/>
        </w:rPr>
        <w:t>Registro cronológico de servicios ejecutados, observaciones dermatológicas de las uñas y especialista que realizó la atención.</w:t>
      </w:r>
    </w:p>
    <w:p>
      <w:pPr>
        <w:keepNext/>
        <w:spacing w:before="280" w:after="40"/>
      </w:pPr>
      <w:r>
        <w:rPr>
          <w:rFonts w:ascii="Times New Roman" w:hAnsi="Times New Roman"/>
          <w:b/>
          <w:color w:val="2F4A34"/>
          <w:sz w:val="21"/>
        </w:rPr>
        <w:t>Figura 19</w:t>
      </w:r>
    </w:p>
    <w:p>
      <w:pPr>
        <w:keepNext/>
        <w:spacing w:before="0" w:after="120"/>
      </w:pPr>
      <w:r>
        <w:rPr>
          <w:rFonts w:ascii="Times New Roman" w:hAnsi="Times New Roman"/>
          <w:i/>
          <w:color w:val="1E293B"/>
          <w:sz w:val="21"/>
        </w:rPr>
        <w:t>Intranet B2E: Módulo de Especialistas y Personal Técnico</w:t>
      </w:r>
    </w:p>
    <w:p>
      <w:pPr>
        <w:spacing w:before="0" w:after="80"/>
        <w:jc w:val="center"/>
      </w:pPr>
      <w:r>
        <w:drawing>
          <wp:inline xmlns:a="http://schemas.openxmlformats.org/drawingml/2006/main" xmlns:pic="http://schemas.openxmlformats.org/drawingml/2006/picture">
            <wp:extent cx="5303520" cy="2848570"/>
            <wp:docPr id="19" name="Picture 19"/>
            <wp:cNvGraphicFramePr>
              <a:graphicFrameLocks noChangeAspect="1"/>
            </wp:cNvGraphicFramePr>
            <a:graphic>
              <a:graphicData uri="http://schemas.openxmlformats.org/drawingml/2006/picture">
                <pic:pic>
                  <pic:nvPicPr>
                    <pic:cNvPr id="0" name="media_1789434003987.png"/>
                    <pic:cNvPicPr/>
                  </pic:nvPicPr>
                  <pic:blipFill>
                    <a:blip r:embed="rId29"/>
                    <a:stretch>
                      <a:fillRect/>
                    </a:stretch>
                  </pic:blipFill>
                  <pic:spPr>
                    <a:xfrm>
                      <a:off x="0" y="0"/>
                      <a:ext cx="5303520" cy="2848570"/>
                    </a:xfrm>
                    <a:prstGeom prst="rect"/>
                  </pic:spPr>
                </pic:pic>
              </a:graphicData>
            </a:graphic>
          </wp:inline>
        </w:drawing>
      </w:r>
    </w:p>
    <w:p>
      <w:pPr>
        <w:spacing w:before="0" w:after="280"/>
      </w:pPr>
      <w:r>
        <w:rPr>
          <w:rFonts w:ascii="Times New Roman" w:hAnsi="Times New Roman"/>
          <w:i/>
          <w:color w:val="475569"/>
          <w:sz w:val="19"/>
        </w:rPr>
        <w:t xml:space="preserve">Nota. </w:t>
      </w:r>
      <w:r>
        <w:rPr>
          <w:rFonts w:ascii="Times New Roman" w:hAnsi="Times New Roman"/>
          <w:color w:val="475569"/>
          <w:sz w:val="19"/>
        </w:rPr>
        <w:t>Administración del personal de salón con datos contractuales, especialidad técnica y asignación de sede de trabajo.</w:t>
      </w:r>
    </w:p>
    <w:p>
      <w:pPr>
        <w:keepNext/>
        <w:spacing w:before="280" w:after="40"/>
      </w:pPr>
      <w:r>
        <w:rPr>
          <w:rFonts w:ascii="Times New Roman" w:hAnsi="Times New Roman"/>
          <w:b/>
          <w:color w:val="2F4A34"/>
          <w:sz w:val="21"/>
        </w:rPr>
        <w:t>Figura 20</w:t>
      </w:r>
    </w:p>
    <w:p>
      <w:pPr>
        <w:keepNext/>
        <w:spacing w:before="0" w:after="120"/>
      </w:pPr>
      <w:r>
        <w:rPr>
          <w:rFonts w:ascii="Times New Roman" w:hAnsi="Times New Roman"/>
          <w:i/>
          <w:color w:val="1E293B"/>
          <w:sz w:val="21"/>
        </w:rPr>
        <w:t>Intranet B2E: Configuración de Horarios y Franjas Semanales</w:t>
      </w:r>
    </w:p>
    <w:p>
      <w:pPr>
        <w:spacing w:before="0" w:after="80"/>
        <w:jc w:val="center"/>
      </w:pPr>
      <w:r>
        <w:drawing>
          <wp:inline xmlns:a="http://schemas.openxmlformats.org/drawingml/2006/main" xmlns:pic="http://schemas.openxmlformats.org/drawingml/2006/picture">
            <wp:extent cx="5303520" cy="2848570"/>
            <wp:docPr id="20" name="Picture 20"/>
            <wp:cNvGraphicFramePr>
              <a:graphicFrameLocks noChangeAspect="1"/>
            </wp:cNvGraphicFramePr>
            <a:graphic>
              <a:graphicData uri="http://schemas.openxmlformats.org/drawingml/2006/picture">
                <pic:pic>
                  <pic:nvPicPr>
                    <pic:cNvPr id="0" name="media_1789434013121.png"/>
                    <pic:cNvPicPr/>
                  </pic:nvPicPr>
                  <pic:blipFill>
                    <a:blip r:embed="rId30"/>
                    <a:stretch>
                      <a:fillRect/>
                    </a:stretch>
                  </pic:blipFill>
                  <pic:spPr>
                    <a:xfrm>
                      <a:off x="0" y="0"/>
                      <a:ext cx="5303520" cy="2848570"/>
                    </a:xfrm>
                    <a:prstGeom prst="rect"/>
                  </pic:spPr>
                </pic:pic>
              </a:graphicData>
            </a:graphic>
          </wp:inline>
        </w:drawing>
      </w:r>
    </w:p>
    <w:p>
      <w:pPr>
        <w:spacing w:before="0" w:after="280"/>
      </w:pPr>
      <w:r>
        <w:rPr>
          <w:rFonts w:ascii="Times New Roman" w:hAnsi="Times New Roman"/>
          <w:i/>
          <w:color w:val="475569"/>
          <w:sz w:val="19"/>
        </w:rPr>
        <w:t xml:space="preserve">Nota. </w:t>
      </w:r>
      <w:r>
        <w:rPr>
          <w:rFonts w:ascii="Times New Roman" w:hAnsi="Times New Roman"/>
          <w:color w:val="475569"/>
          <w:sz w:val="19"/>
        </w:rPr>
        <w:t>Matriz semanal para configurar turnos laborales, descansos y cálculo automático de disponibilidad por empleado.</w:t>
      </w:r>
    </w:p>
    <w:p>
      <w:pPr>
        <w:keepNext/>
        <w:spacing w:before="280" w:after="40"/>
      </w:pPr>
      <w:r>
        <w:rPr>
          <w:rFonts w:ascii="Times New Roman" w:hAnsi="Times New Roman"/>
          <w:b/>
          <w:color w:val="2F4A34"/>
          <w:sz w:val="21"/>
        </w:rPr>
        <w:t>Figura 21</w:t>
      </w:r>
    </w:p>
    <w:p>
      <w:pPr>
        <w:keepNext/>
        <w:spacing w:before="0" w:after="120"/>
      </w:pPr>
      <w:r>
        <w:rPr>
          <w:rFonts w:ascii="Times New Roman" w:hAnsi="Times New Roman"/>
          <w:i/>
          <w:color w:val="1E293B"/>
          <w:sz w:val="21"/>
        </w:rPr>
        <w:t>Intranet B2E: Módulo de Proveedores e Insumos Cosméticos</w:t>
      </w:r>
    </w:p>
    <w:p>
      <w:pPr>
        <w:spacing w:before="0" w:after="80"/>
        <w:jc w:val="center"/>
      </w:pPr>
      <w:r>
        <w:drawing>
          <wp:inline xmlns:a="http://schemas.openxmlformats.org/drawingml/2006/main" xmlns:pic="http://schemas.openxmlformats.org/drawingml/2006/picture">
            <wp:extent cx="5303520" cy="2848570"/>
            <wp:docPr id="21" name="Picture 21"/>
            <wp:cNvGraphicFramePr>
              <a:graphicFrameLocks noChangeAspect="1"/>
            </wp:cNvGraphicFramePr>
            <a:graphic>
              <a:graphicData uri="http://schemas.openxmlformats.org/drawingml/2006/picture">
                <pic:pic>
                  <pic:nvPicPr>
                    <pic:cNvPr id="0" name="media_1789434023751.png"/>
                    <pic:cNvPicPr/>
                  </pic:nvPicPr>
                  <pic:blipFill>
                    <a:blip r:embed="rId31"/>
                    <a:stretch>
                      <a:fillRect/>
                    </a:stretch>
                  </pic:blipFill>
                  <pic:spPr>
                    <a:xfrm>
                      <a:off x="0" y="0"/>
                      <a:ext cx="5303520" cy="2848570"/>
                    </a:xfrm>
                    <a:prstGeom prst="rect"/>
                  </pic:spPr>
                </pic:pic>
              </a:graphicData>
            </a:graphic>
          </wp:inline>
        </w:drawing>
      </w:r>
    </w:p>
    <w:p>
      <w:pPr>
        <w:spacing w:before="0" w:after="280"/>
      </w:pPr>
      <w:r>
        <w:rPr>
          <w:rFonts w:ascii="Times New Roman" w:hAnsi="Times New Roman"/>
          <w:i/>
          <w:color w:val="475569"/>
          <w:sz w:val="19"/>
        </w:rPr>
        <w:t xml:space="preserve">Nota. </w:t>
      </w:r>
      <w:r>
        <w:rPr>
          <w:rFonts w:ascii="Times New Roman" w:hAnsi="Times New Roman"/>
          <w:color w:val="475569"/>
          <w:sz w:val="19"/>
        </w:rPr>
        <w:t>Catálogo de proveedores estratégicos de esmaltes, químicos y herramientas estéticas con datos de contacto y pedidos.</w:t>
      </w:r>
    </w:p>
    <w:p>
      <w:pPr>
        <w:keepNext/>
        <w:spacing w:before="280" w:after="40"/>
      </w:pPr>
      <w:r>
        <w:rPr>
          <w:rFonts w:ascii="Times New Roman" w:hAnsi="Times New Roman"/>
          <w:b/>
          <w:color w:val="2F4A34"/>
          <w:sz w:val="21"/>
        </w:rPr>
        <w:t>Figura 22</w:t>
      </w:r>
    </w:p>
    <w:p>
      <w:pPr>
        <w:keepNext/>
        <w:spacing w:before="0" w:after="120"/>
      </w:pPr>
      <w:r>
        <w:rPr>
          <w:rFonts w:ascii="Times New Roman" w:hAnsi="Times New Roman"/>
          <w:i/>
          <w:color w:val="1E293B"/>
          <w:sz w:val="21"/>
        </w:rPr>
        <w:t>Intranet B2E: Módulo de Postulaciones Laborales</w:t>
      </w:r>
    </w:p>
    <w:p>
      <w:pPr>
        <w:spacing w:before="0" w:after="80"/>
        <w:jc w:val="center"/>
      </w:pPr>
      <w:r>
        <w:drawing>
          <wp:inline xmlns:a="http://schemas.openxmlformats.org/drawingml/2006/main" xmlns:pic="http://schemas.openxmlformats.org/drawingml/2006/picture">
            <wp:extent cx="5303520" cy="2848570"/>
            <wp:docPr id="22" name="Picture 22"/>
            <wp:cNvGraphicFramePr>
              <a:graphicFrameLocks noChangeAspect="1"/>
            </wp:cNvGraphicFramePr>
            <a:graphic>
              <a:graphicData uri="http://schemas.openxmlformats.org/drawingml/2006/picture">
                <pic:pic>
                  <pic:nvPicPr>
                    <pic:cNvPr id="0" name="media_1789434023751.png"/>
                    <pic:cNvPicPr/>
                  </pic:nvPicPr>
                  <pic:blipFill>
                    <a:blip r:embed="rId31"/>
                    <a:stretch>
                      <a:fillRect/>
                    </a:stretch>
                  </pic:blipFill>
                  <pic:spPr>
                    <a:xfrm>
                      <a:off x="0" y="0"/>
                      <a:ext cx="5303520" cy="2848570"/>
                    </a:xfrm>
                    <a:prstGeom prst="rect"/>
                  </pic:spPr>
                </pic:pic>
              </a:graphicData>
            </a:graphic>
          </wp:inline>
        </w:drawing>
      </w:r>
    </w:p>
    <w:p>
      <w:pPr>
        <w:spacing w:before="0" w:after="280"/>
      </w:pPr>
      <w:r>
        <w:rPr>
          <w:rFonts w:ascii="Times New Roman" w:hAnsi="Times New Roman"/>
          <w:i/>
          <w:color w:val="475569"/>
          <w:sz w:val="19"/>
        </w:rPr>
        <w:t xml:space="preserve">Nota. </w:t>
      </w:r>
      <w:r>
        <w:rPr>
          <w:rFonts w:ascii="Times New Roman" w:hAnsi="Times New Roman"/>
          <w:color w:val="475569"/>
          <w:sz w:val="19"/>
        </w:rPr>
        <w:t>Revisión de aspirantes al salón con visualización de estado de lectura, currículum vitae y datos de entrevista.</w:t>
      </w:r>
    </w:p>
    <w:p>
      <w:pPr>
        <w:keepNext/>
        <w:spacing w:before="280" w:after="40"/>
      </w:pPr>
      <w:r>
        <w:rPr>
          <w:rFonts w:ascii="Times New Roman" w:hAnsi="Times New Roman"/>
          <w:b/>
          <w:color w:val="2F4A34"/>
          <w:sz w:val="21"/>
        </w:rPr>
        <w:t>Figura 23</w:t>
      </w:r>
    </w:p>
    <w:p>
      <w:pPr>
        <w:keepNext/>
        <w:spacing w:before="0" w:after="120"/>
      </w:pPr>
      <w:r>
        <w:rPr>
          <w:rFonts w:ascii="Times New Roman" w:hAnsi="Times New Roman"/>
          <w:i/>
          <w:color w:val="1E293B"/>
          <w:sz w:val="21"/>
        </w:rPr>
        <w:t>Intranet B2E: Gestión de Roles de Seguridad y Matriz de Permisos</w:t>
      </w:r>
    </w:p>
    <w:p>
      <w:pPr>
        <w:spacing w:before="0" w:after="80"/>
        <w:jc w:val="center"/>
      </w:pPr>
      <w:r>
        <w:drawing>
          <wp:inline xmlns:a="http://schemas.openxmlformats.org/drawingml/2006/main" xmlns:pic="http://schemas.openxmlformats.org/drawingml/2006/picture">
            <wp:extent cx="5303520" cy="2848570"/>
            <wp:docPr id="23" name="Picture 23"/>
            <wp:cNvGraphicFramePr>
              <a:graphicFrameLocks noChangeAspect="1"/>
            </wp:cNvGraphicFramePr>
            <a:graphic>
              <a:graphicData uri="http://schemas.openxmlformats.org/drawingml/2006/picture">
                <pic:pic>
                  <pic:nvPicPr>
                    <pic:cNvPr id="0" name="media_1789434037647.png"/>
                    <pic:cNvPicPr/>
                  </pic:nvPicPr>
                  <pic:blipFill>
                    <a:blip r:embed="rId32"/>
                    <a:stretch>
                      <a:fillRect/>
                    </a:stretch>
                  </pic:blipFill>
                  <pic:spPr>
                    <a:xfrm>
                      <a:off x="0" y="0"/>
                      <a:ext cx="5303520" cy="2848570"/>
                    </a:xfrm>
                    <a:prstGeom prst="rect"/>
                  </pic:spPr>
                </pic:pic>
              </a:graphicData>
            </a:graphic>
          </wp:inline>
        </w:drawing>
      </w:r>
    </w:p>
    <w:p>
      <w:pPr>
        <w:spacing w:before="0" w:after="280"/>
      </w:pPr>
      <w:r>
        <w:rPr>
          <w:rFonts w:ascii="Times New Roman" w:hAnsi="Times New Roman"/>
          <w:i/>
          <w:color w:val="475569"/>
          <w:sz w:val="19"/>
        </w:rPr>
        <w:t xml:space="preserve">Nota. </w:t>
      </w:r>
      <w:r>
        <w:rPr>
          <w:rFonts w:ascii="Times New Roman" w:hAnsi="Times New Roman"/>
          <w:color w:val="475569"/>
          <w:sz w:val="19"/>
        </w:rPr>
        <w:t>Mecanismo RBAC para definir perfiles (Administrador, Recepcionista, Asistente) con privilegios granulares por módulo.</w:t>
      </w:r>
    </w:p>
    <w:p>
      <w:pPr>
        <w:keepNext/>
        <w:spacing w:before="280" w:after="40"/>
      </w:pPr>
      <w:r>
        <w:rPr>
          <w:rFonts w:ascii="Times New Roman" w:hAnsi="Times New Roman"/>
          <w:b/>
          <w:color w:val="2F4A34"/>
          <w:sz w:val="21"/>
        </w:rPr>
        <w:t>Figura 24</w:t>
      </w:r>
    </w:p>
    <w:p>
      <w:pPr>
        <w:keepNext/>
        <w:spacing w:before="0" w:after="120"/>
      </w:pPr>
      <w:r>
        <w:rPr>
          <w:rFonts w:ascii="Times New Roman" w:hAnsi="Times New Roman"/>
          <w:i/>
          <w:color w:val="1E293B"/>
          <w:sz w:val="21"/>
        </w:rPr>
        <w:t>Intranet B2E: Configuración del Portal y Parámetros Corporativos</w:t>
      </w:r>
    </w:p>
    <w:p>
      <w:pPr>
        <w:spacing w:before="0" w:after="80"/>
        <w:jc w:val="center"/>
      </w:pPr>
      <w:r>
        <w:drawing>
          <wp:inline xmlns:a="http://schemas.openxmlformats.org/drawingml/2006/main" xmlns:pic="http://schemas.openxmlformats.org/drawingml/2006/picture">
            <wp:extent cx="5303520" cy="2848570"/>
            <wp:docPr id="24" name="Picture 24"/>
            <wp:cNvGraphicFramePr>
              <a:graphicFrameLocks noChangeAspect="1"/>
            </wp:cNvGraphicFramePr>
            <a:graphic>
              <a:graphicData uri="http://schemas.openxmlformats.org/drawingml/2006/picture">
                <pic:pic>
                  <pic:nvPicPr>
                    <pic:cNvPr id="0" name="media_1789434046041.png"/>
                    <pic:cNvPicPr/>
                  </pic:nvPicPr>
                  <pic:blipFill>
                    <a:blip r:embed="rId33"/>
                    <a:stretch>
                      <a:fillRect/>
                    </a:stretch>
                  </pic:blipFill>
                  <pic:spPr>
                    <a:xfrm>
                      <a:off x="0" y="0"/>
                      <a:ext cx="5303520" cy="2848570"/>
                    </a:xfrm>
                    <a:prstGeom prst="rect"/>
                  </pic:spPr>
                </pic:pic>
              </a:graphicData>
            </a:graphic>
          </wp:inline>
        </w:drawing>
      </w:r>
    </w:p>
    <w:p>
      <w:pPr>
        <w:spacing w:before="0" w:after="280"/>
      </w:pPr>
      <w:r>
        <w:rPr>
          <w:rFonts w:ascii="Times New Roman" w:hAnsi="Times New Roman"/>
          <w:i/>
          <w:color w:val="475569"/>
          <w:sz w:val="19"/>
        </w:rPr>
        <w:t xml:space="preserve">Nota. </w:t>
      </w:r>
      <w:r>
        <w:rPr>
          <w:rFonts w:ascii="Times New Roman" w:hAnsi="Times New Roman"/>
          <w:color w:val="475569"/>
          <w:sz w:val="19"/>
        </w:rPr>
        <w:t>Ajuste dinámico de misión, visión, correos de notificación, eslogan y enlaces a redes sociales corporativas.</w:t>
      </w:r>
    </w:p>
    <w:p>
      <w:pPr>
        <w:keepNext/>
        <w:spacing w:before="360" w:after="160"/>
        <w:jc w:val="left"/>
      </w:pPr>
      <w:r>
        <w:rPr>
          <w:rFonts w:ascii="Times New Roman" w:hAnsi="Times New Roman"/>
          <w:b/>
          <w:color w:val="2F4A34"/>
          <w:sz w:val="28"/>
        </w:rPr>
        <w:t>5. Modelo Relacional de Datos y Reglas de Negocio</w:t>
      </w:r>
    </w:p>
    <w:p>
      <w:pPr>
        <w:keepNext/>
        <w:spacing w:before="280" w:after="120"/>
        <w:jc w:val="left"/>
      </w:pPr>
      <w:r>
        <w:rPr>
          <w:rFonts w:ascii="Times New Roman" w:hAnsi="Times New Roman"/>
          <w:b/>
          <w:color w:val="2F4A34"/>
          <w:sz w:val="25"/>
        </w:rPr>
        <w:t>5.1. Proceso de Normalización Relacional (1FN, 2FN y 3FN)</w:t>
      </w:r>
    </w:p>
    <w:p>
      <w:pPr>
        <w:spacing w:line="276" w:lineRule="auto" w:after="120"/>
        <w:jc w:val="both"/>
      </w:pPr>
      <w:r>
        <w:rPr>
          <w:rFonts w:ascii="Times New Roman" w:hAnsi="Times New Roman"/>
          <w:color w:val="1E293B"/>
          <w:sz w:val="22"/>
        </w:rPr>
        <w:t>El diseño de la base de datos en PostgreSQL 16 (Neon Cloud) se sometió a un riguroso proceso de normalización formal para eliminar redundancias, prevenir anomalías de inserción, actualización y borrado, y optimizar el rendimiento de las consultas transaccionales:</w:t>
      </w:r>
    </w:p>
    <w:p>
      <w:pPr>
        <w:pStyle w:val="ListBullet"/>
        <w:spacing w:line="276" w:lineRule="auto" w:after="80"/>
        <w:jc w:val="both"/>
      </w:pPr>
      <w:r>
        <w:rPr>
          <w:rFonts w:ascii="Times New Roman" w:hAnsi="Times New Roman"/>
          <w:b/>
          <w:color w:val="2F4A34"/>
          <w:sz w:val="22"/>
        </w:rPr>
        <w:t xml:space="preserve">Primera Forma Normal (1FN): </w:t>
      </w:r>
      <w:r>
        <w:rPr>
          <w:rFonts w:ascii="Times New Roman" w:hAnsi="Times New Roman"/>
          <w:color w:val="1E293B"/>
          <w:sz w:val="22"/>
        </w:rPr>
        <w:t>Se garantizó la atomicidad de todos los atributos. No existen campos multivaluados ni arrays no estructurados en las entidades principales. Cada tupla se identifica de manera unívoca mediante una clave primaria surrogate de tipo entero autoincremental (BIGSERIAL / SERIAL PRIMARY KEY).</w:t>
      </w:r>
    </w:p>
    <w:p>
      <w:pPr>
        <w:pStyle w:val="ListBullet"/>
        <w:spacing w:line="276" w:lineRule="auto" w:after="80"/>
        <w:jc w:val="both"/>
      </w:pPr>
      <w:r>
        <w:rPr>
          <w:rFonts w:ascii="Times New Roman" w:hAnsi="Times New Roman"/>
          <w:b/>
          <w:color w:val="2F4A34"/>
          <w:sz w:val="22"/>
        </w:rPr>
        <w:t xml:space="preserve">Segunda Forma Normal (2FN): </w:t>
      </w:r>
      <w:r>
        <w:rPr>
          <w:rFonts w:ascii="Times New Roman" w:hAnsi="Times New Roman"/>
          <w:color w:val="1E293B"/>
          <w:sz w:val="22"/>
        </w:rPr>
        <w:t>Cumpliendo con 1FN, se aseguró que todos los atributos no clave dependan funcionalmente de la clave primaria completa. En tablas de relación muchos a muchos con claves compuestas (como 'rol_permisos' o 'cita_servicios'), no existen dependencias funcionales parciales respecto a un subconjunto de la clave.</w:t>
      </w:r>
    </w:p>
    <w:p>
      <w:pPr>
        <w:pStyle w:val="ListBullet"/>
        <w:spacing w:line="276" w:lineRule="auto" w:after="80"/>
        <w:jc w:val="both"/>
      </w:pPr>
      <w:r>
        <w:rPr>
          <w:rFonts w:ascii="Times New Roman" w:hAnsi="Times New Roman"/>
          <w:b/>
          <w:color w:val="2F4A34"/>
          <w:sz w:val="22"/>
        </w:rPr>
        <w:t xml:space="preserve">Tercera Forma Normal (3FN): </w:t>
      </w:r>
      <w:r>
        <w:rPr>
          <w:rFonts w:ascii="Times New Roman" w:hAnsi="Times New Roman"/>
          <w:color w:val="1E293B"/>
          <w:sz w:val="22"/>
        </w:rPr>
        <w:t>Cumpliendo con 2FN, se eliminaron todas las dependencias transitivas. Ningún atributo no clave depende de otro atributo no clave. Por ejemplo, en la tabla 'citas', no se almacenan datos descriptivos del cliente o de la sucursal (nombres, teléfonos, direcciones), sino únicamente sus claves foráneas ('id_cliente', 'id_sucursal'), garantizando que cualquier cambio en la sede se propague instantáneamente sin inconsistencias.</w:t>
      </w:r>
    </w:p>
    <w:p>
      <w:pPr>
        <w:keepNext/>
        <w:spacing w:before="280" w:after="120"/>
        <w:jc w:val="left"/>
      </w:pPr>
      <w:r>
        <w:rPr>
          <w:rFonts w:ascii="Times New Roman" w:hAnsi="Times New Roman"/>
          <w:b/>
          <w:color w:val="2F4A34"/>
          <w:sz w:val="25"/>
        </w:rPr>
        <w:t>5.2. Diccionario de Datos y Arquitectura de 19 Tablas</w:t>
      </w:r>
    </w:p>
    <w:p>
      <w:pPr>
        <w:spacing w:line="276" w:lineRule="auto" w:after="120"/>
        <w:jc w:val="both"/>
      </w:pPr>
      <w:r>
        <w:rPr>
          <w:rFonts w:ascii="Times New Roman" w:hAnsi="Times New Roman"/>
          <w:color w:val="1E293B"/>
          <w:sz w:val="22"/>
        </w:rPr>
        <w:t>A continuación, la Tabla 2 sintetiza la estructura relacional del esquema 'lushnails_spa', detallando la responsabilidad de cada entidad y sus relaciones de integridad referencial:</w:t>
      </w:r>
    </w:p>
    <w:tbl>
      <w:tblPr>
        <w:tblW w:type="auto" w:w="0"/>
        <w:jc w:val="center"/>
        <w:tblLook w:firstColumn="1" w:firstRow="1" w:lastColumn="0" w:lastRow="0" w:noHBand="0" w:noVBand="1" w:val="04A0"/>
        <w:tblBorders>
          <w:top w:val="single" w:sz="12" w:space="0" w:color="2F4A34"/>
          <w:bottom w:val="single" w:sz="12" w:space="0" w:color="2F4A34"/>
          <w:left w:val="none"/>
          <w:right w:val="none"/>
          <w:insideH w:val="single" w:sz="4" w:space="0" w:color="E2E8F0"/>
          <w:insideV w:val="none"/>
        </w:tblBorders>
      </w:tblPr>
      <w:tblGrid>
        <w:gridCol w:w="3120"/>
        <w:gridCol w:w="3120"/>
        <w:gridCol w:w="3120"/>
      </w:tblGrid>
      <w:tr>
        <w:tc>
          <w:tcPr>
            <w:tcW w:type="dxa" w:w="2592"/>
            <w:tcMar>
              <w:top w:w="80" w:type="dxa"/>
              <w:bottom w:w="80" w:type="dxa"/>
              <w:left w:w="100" w:type="dxa"/>
              <w:right w:w="100" w:type="dxa"/>
            </w:tcMar>
            <w:shd w:val="clear" w:color="auto" w:fill="2F4A34"/>
          </w:tcPr>
          <w:p>
            <w:r>
              <w:rPr>
                <w:rFonts w:ascii="Times New Roman" w:hAnsi="Times New Roman"/>
                <w:b/>
                <w:color w:val="FFFFFF"/>
                <w:sz w:val="19"/>
              </w:rPr>
              <w:t>Entidad</w:t>
            </w:r>
          </w:p>
        </w:tc>
        <w:tc>
          <w:tcPr>
            <w:tcW w:type="dxa" w:w="4320"/>
            <w:tcMar>
              <w:top w:w="80" w:type="dxa"/>
              <w:bottom w:w="80" w:type="dxa"/>
              <w:left w:w="100" w:type="dxa"/>
              <w:right w:w="100" w:type="dxa"/>
            </w:tcMar>
            <w:shd w:val="clear" w:color="auto" w:fill="2F4A34"/>
          </w:tcPr>
          <w:p>
            <w:r>
              <w:rPr>
                <w:rFonts w:ascii="Times New Roman" w:hAnsi="Times New Roman"/>
                <w:b/>
                <w:color w:val="FFFFFF"/>
                <w:sz w:val="19"/>
              </w:rPr>
              <w:t>Descripción de Datos</w:t>
            </w:r>
          </w:p>
        </w:tc>
        <w:tc>
          <w:tcPr>
            <w:tcW w:type="dxa" w:w="2448"/>
            <w:tcMar>
              <w:top w:w="80" w:type="dxa"/>
              <w:bottom w:w="80" w:type="dxa"/>
              <w:left w:w="100" w:type="dxa"/>
              <w:right w:w="100" w:type="dxa"/>
            </w:tcMar>
            <w:shd w:val="clear" w:color="auto" w:fill="2F4A34"/>
          </w:tcPr>
          <w:p>
            <w:r>
              <w:rPr>
                <w:rFonts w:ascii="Times New Roman" w:hAnsi="Times New Roman"/>
                <w:b/>
                <w:color w:val="FFFFFF"/>
                <w:sz w:val="19"/>
              </w:rPr>
              <w:t>Relaciones Clave</w:t>
            </w:r>
          </w:p>
        </w:tc>
      </w:tr>
      <w:tr>
        <w:tc>
          <w:tcPr>
            <w:tcW w:type="dxa" w:w="2592"/>
            <w:tcMar>
              <w:top w:w="80" w:type="dxa"/>
              <w:bottom w:w="80" w:type="dxa"/>
              <w:left w:w="100" w:type="dxa"/>
              <w:right w:w="100" w:type="dxa"/>
            </w:tcMar>
            <w:shd w:val="clear" w:color="auto" w:fill="F8FAFC"/>
          </w:tcPr>
          <w:p>
            <w:r>
              <w:rPr>
                <w:rFonts w:ascii="Times New Roman" w:hAnsi="Times New Roman"/>
                <w:color w:val="1E293B"/>
                <w:sz w:val="18"/>
              </w:rPr>
              <w:t>usuarios</w:t>
            </w:r>
          </w:p>
        </w:tc>
        <w:tc>
          <w:tcPr>
            <w:tcW w:type="dxa" w:w="4320"/>
            <w:tcMar>
              <w:top w:w="80" w:type="dxa"/>
              <w:bottom w:w="80" w:type="dxa"/>
              <w:left w:w="100" w:type="dxa"/>
              <w:right w:w="100" w:type="dxa"/>
            </w:tcMar>
            <w:shd w:val="clear" w:color="auto" w:fill="F8FAFC"/>
          </w:tcPr>
          <w:p>
            <w:r>
              <w:rPr>
                <w:rFonts w:ascii="Times New Roman" w:hAnsi="Times New Roman"/>
                <w:color w:val="1E293B"/>
                <w:sz w:val="18"/>
              </w:rPr>
              <w:t>Cuentas del personal administrativo con hash bcrypt de seguridad.</w:t>
            </w:r>
          </w:p>
        </w:tc>
        <w:tc>
          <w:tcPr>
            <w:tcW w:type="dxa" w:w="2448"/>
            <w:tcMar>
              <w:top w:w="80" w:type="dxa"/>
              <w:bottom w:w="80" w:type="dxa"/>
              <w:left w:w="100" w:type="dxa"/>
              <w:right w:w="100" w:type="dxa"/>
            </w:tcMar>
            <w:shd w:val="clear" w:color="auto" w:fill="F8FAFC"/>
          </w:tcPr>
          <w:p>
            <w:r>
              <w:rPr>
                <w:rFonts w:ascii="Times New Roman" w:hAnsi="Times New Roman"/>
                <w:color w:val="1E293B"/>
                <w:sz w:val="18"/>
              </w:rPr>
              <w:t>roles (FK), sesiones_activas</w:t>
            </w:r>
          </w:p>
        </w:tc>
      </w:tr>
      <w:tr>
        <w:tc>
          <w:tcPr>
            <w:tcW w:type="dxa" w:w="2592"/>
            <w:tcMar>
              <w:top w:w="80" w:type="dxa"/>
              <w:bottom w:w="80" w:type="dxa"/>
              <w:left w:w="100" w:type="dxa"/>
              <w:right w:w="100" w:type="dxa"/>
            </w:tcMar>
          </w:tcPr>
          <w:p>
            <w:r>
              <w:rPr>
                <w:rFonts w:ascii="Times New Roman" w:hAnsi="Times New Roman"/>
                <w:color w:val="1E293B"/>
                <w:sz w:val="18"/>
              </w:rPr>
              <w:t>roles / permisos</w:t>
            </w:r>
          </w:p>
        </w:tc>
        <w:tc>
          <w:tcPr>
            <w:tcW w:type="dxa" w:w="4320"/>
            <w:tcMar>
              <w:top w:w="80" w:type="dxa"/>
              <w:bottom w:w="80" w:type="dxa"/>
              <w:left w:w="100" w:type="dxa"/>
              <w:right w:w="100" w:type="dxa"/>
            </w:tcMar>
          </w:tcPr>
          <w:p>
            <w:r>
              <w:rPr>
                <w:rFonts w:ascii="Times New Roman" w:hAnsi="Times New Roman"/>
                <w:color w:val="1E293B"/>
                <w:sz w:val="18"/>
              </w:rPr>
              <w:t>Perfiles de autorización del sistema y permisos granulares asignados.</w:t>
            </w:r>
          </w:p>
        </w:tc>
        <w:tc>
          <w:tcPr>
            <w:tcW w:type="dxa" w:w="2448"/>
            <w:tcMar>
              <w:top w:w="80" w:type="dxa"/>
              <w:bottom w:w="80" w:type="dxa"/>
              <w:left w:w="100" w:type="dxa"/>
              <w:right w:w="100" w:type="dxa"/>
            </w:tcMar>
          </w:tcPr>
          <w:p>
            <w:r>
              <w:rPr>
                <w:rFonts w:ascii="Times New Roman" w:hAnsi="Times New Roman"/>
                <w:color w:val="1E293B"/>
                <w:sz w:val="18"/>
              </w:rPr>
              <w:t>rol_permisos (tabla intermedia)</w:t>
            </w:r>
          </w:p>
        </w:tc>
      </w:tr>
      <w:tr>
        <w:tc>
          <w:tcPr>
            <w:tcW w:type="dxa" w:w="2592"/>
            <w:tcMar>
              <w:top w:w="80" w:type="dxa"/>
              <w:bottom w:w="80" w:type="dxa"/>
              <w:left w:w="100" w:type="dxa"/>
              <w:right w:w="100" w:type="dxa"/>
            </w:tcMar>
            <w:shd w:val="clear" w:color="auto" w:fill="F8FAFC"/>
          </w:tcPr>
          <w:p>
            <w:r>
              <w:rPr>
                <w:rFonts w:ascii="Times New Roman" w:hAnsi="Times New Roman"/>
                <w:color w:val="1E293B"/>
                <w:sz w:val="18"/>
              </w:rPr>
              <w:t>clientes</w:t>
            </w:r>
          </w:p>
        </w:tc>
        <w:tc>
          <w:tcPr>
            <w:tcW w:type="dxa" w:w="4320"/>
            <w:tcMar>
              <w:top w:w="80" w:type="dxa"/>
              <w:bottom w:w="80" w:type="dxa"/>
              <w:left w:w="100" w:type="dxa"/>
              <w:right w:w="100" w:type="dxa"/>
            </w:tcMar>
            <w:shd w:val="clear" w:color="auto" w:fill="F8FAFC"/>
          </w:tcPr>
          <w:p>
            <w:r>
              <w:rPr>
                <w:rFonts w:ascii="Times New Roman" w:hAnsi="Times New Roman"/>
                <w:color w:val="1E293B"/>
                <w:sz w:val="18"/>
              </w:rPr>
              <w:t>Directorio de usuarios B2C con credenciales opcionales para autoservicio.</w:t>
            </w:r>
          </w:p>
        </w:tc>
        <w:tc>
          <w:tcPr>
            <w:tcW w:type="dxa" w:w="2448"/>
            <w:tcMar>
              <w:top w:w="80" w:type="dxa"/>
              <w:bottom w:w="80" w:type="dxa"/>
              <w:left w:w="100" w:type="dxa"/>
              <w:right w:w="100" w:type="dxa"/>
            </w:tcMar>
            <w:shd w:val="clear" w:color="auto" w:fill="F8FAFC"/>
          </w:tcPr>
          <w:p>
            <w:r>
              <w:rPr>
                <w:rFonts w:ascii="Times New Roman" w:hAnsi="Times New Roman"/>
                <w:color w:val="1E293B"/>
                <w:sz w:val="18"/>
              </w:rPr>
              <w:t>citas (1:N), historial_atenciones</w:t>
            </w:r>
          </w:p>
        </w:tc>
      </w:tr>
      <w:tr>
        <w:tc>
          <w:tcPr>
            <w:tcW w:type="dxa" w:w="2592"/>
            <w:tcMar>
              <w:top w:w="80" w:type="dxa"/>
              <w:bottom w:w="80" w:type="dxa"/>
              <w:left w:w="100" w:type="dxa"/>
              <w:right w:w="100" w:type="dxa"/>
            </w:tcMar>
          </w:tcPr>
          <w:p>
            <w:r>
              <w:rPr>
                <w:rFonts w:ascii="Times New Roman" w:hAnsi="Times New Roman"/>
                <w:color w:val="1E293B"/>
                <w:sz w:val="18"/>
              </w:rPr>
              <w:t>sucursales</w:t>
            </w:r>
          </w:p>
        </w:tc>
        <w:tc>
          <w:tcPr>
            <w:tcW w:type="dxa" w:w="4320"/>
            <w:tcMar>
              <w:top w:w="80" w:type="dxa"/>
              <w:bottom w:w="80" w:type="dxa"/>
              <w:left w:w="100" w:type="dxa"/>
              <w:right w:w="100" w:type="dxa"/>
            </w:tcMar>
          </w:tcPr>
          <w:p>
            <w:r>
              <w:rPr>
                <w:rFonts w:ascii="Times New Roman" w:hAnsi="Times New Roman"/>
                <w:color w:val="1E293B"/>
                <w:sz w:val="18"/>
              </w:rPr>
              <w:t>Sedes físicas de operación de Lush Nails Spa.</w:t>
            </w:r>
          </w:p>
        </w:tc>
        <w:tc>
          <w:tcPr>
            <w:tcW w:type="dxa" w:w="2448"/>
            <w:tcMar>
              <w:top w:w="80" w:type="dxa"/>
              <w:bottom w:w="80" w:type="dxa"/>
              <w:left w:w="100" w:type="dxa"/>
              <w:right w:w="100" w:type="dxa"/>
            </w:tcMar>
          </w:tcPr>
          <w:p>
            <w:r>
              <w:rPr>
                <w:rFonts w:ascii="Times New Roman" w:hAnsi="Times New Roman"/>
                <w:color w:val="1E293B"/>
                <w:sz w:val="18"/>
              </w:rPr>
              <w:t>empleados, citas, horarios</w:t>
            </w:r>
          </w:p>
        </w:tc>
      </w:tr>
      <w:tr>
        <w:tc>
          <w:tcPr>
            <w:tcW w:type="dxa" w:w="2592"/>
            <w:tcMar>
              <w:top w:w="80" w:type="dxa"/>
              <w:bottom w:w="80" w:type="dxa"/>
              <w:left w:w="100" w:type="dxa"/>
              <w:right w:w="100" w:type="dxa"/>
            </w:tcMar>
            <w:shd w:val="clear" w:color="auto" w:fill="F8FAFC"/>
          </w:tcPr>
          <w:p>
            <w:r>
              <w:rPr>
                <w:rFonts w:ascii="Times New Roman" w:hAnsi="Times New Roman"/>
                <w:color w:val="1E293B"/>
                <w:sz w:val="18"/>
              </w:rPr>
              <w:t>servicios / categorias</w:t>
            </w:r>
          </w:p>
        </w:tc>
        <w:tc>
          <w:tcPr>
            <w:tcW w:type="dxa" w:w="4320"/>
            <w:tcMar>
              <w:top w:w="80" w:type="dxa"/>
              <w:bottom w:w="80" w:type="dxa"/>
              <w:left w:w="100" w:type="dxa"/>
              <w:right w:w="100" w:type="dxa"/>
            </w:tcMar>
            <w:shd w:val="clear" w:color="auto" w:fill="F8FAFC"/>
          </w:tcPr>
          <w:p>
            <w:r>
              <w:rPr>
                <w:rFonts w:ascii="Times New Roman" w:hAnsi="Times New Roman"/>
                <w:color w:val="1E293B"/>
                <w:sz w:val="18"/>
              </w:rPr>
              <w:t>Catálogo maestro de tratamientos estéticos con precios y duración.</w:t>
            </w:r>
          </w:p>
        </w:tc>
        <w:tc>
          <w:tcPr>
            <w:tcW w:type="dxa" w:w="2448"/>
            <w:tcMar>
              <w:top w:w="80" w:type="dxa"/>
              <w:bottom w:w="80" w:type="dxa"/>
              <w:left w:w="100" w:type="dxa"/>
              <w:right w:w="100" w:type="dxa"/>
            </w:tcMar>
            <w:shd w:val="clear" w:color="auto" w:fill="F8FAFC"/>
          </w:tcPr>
          <w:p>
            <w:r>
              <w:rPr>
                <w:rFonts w:ascii="Times New Roman" w:hAnsi="Times New Roman"/>
                <w:color w:val="1E293B"/>
                <w:sz w:val="18"/>
              </w:rPr>
              <w:t>citas (1:N), promociones</w:t>
            </w:r>
          </w:p>
        </w:tc>
      </w:tr>
      <w:tr>
        <w:tc>
          <w:tcPr>
            <w:tcW w:type="dxa" w:w="2592"/>
            <w:tcMar>
              <w:top w:w="80" w:type="dxa"/>
              <w:bottom w:w="80" w:type="dxa"/>
              <w:left w:w="100" w:type="dxa"/>
              <w:right w:w="100" w:type="dxa"/>
            </w:tcMar>
          </w:tcPr>
          <w:p>
            <w:r>
              <w:rPr>
                <w:rFonts w:ascii="Times New Roman" w:hAnsi="Times New Roman"/>
                <w:color w:val="1E293B"/>
                <w:sz w:val="18"/>
              </w:rPr>
              <w:t>empleados / horarios</w:t>
            </w:r>
          </w:p>
        </w:tc>
        <w:tc>
          <w:tcPr>
            <w:tcW w:type="dxa" w:w="4320"/>
            <w:tcMar>
              <w:top w:w="80" w:type="dxa"/>
              <w:bottom w:w="80" w:type="dxa"/>
              <w:left w:w="100" w:type="dxa"/>
              <w:right w:w="100" w:type="dxa"/>
            </w:tcMar>
          </w:tcPr>
          <w:p>
            <w:r>
              <w:rPr>
                <w:rFonts w:ascii="Times New Roman" w:hAnsi="Times New Roman"/>
                <w:color w:val="1E293B"/>
                <w:sz w:val="18"/>
              </w:rPr>
              <w:t>Personal técnico del spa y configuración de jornadas semanales.</w:t>
            </w:r>
          </w:p>
        </w:tc>
        <w:tc>
          <w:tcPr>
            <w:tcW w:type="dxa" w:w="2448"/>
            <w:tcMar>
              <w:top w:w="80" w:type="dxa"/>
              <w:bottom w:w="80" w:type="dxa"/>
              <w:left w:w="100" w:type="dxa"/>
              <w:right w:w="100" w:type="dxa"/>
            </w:tcMar>
          </w:tcPr>
          <w:p>
            <w:r>
              <w:rPr>
                <w:rFonts w:ascii="Times New Roman" w:hAnsi="Times New Roman"/>
                <w:color w:val="1E293B"/>
                <w:sz w:val="18"/>
              </w:rPr>
              <w:t>sucursales (FK), citas (FK)</w:t>
            </w:r>
          </w:p>
        </w:tc>
      </w:tr>
      <w:tr>
        <w:tc>
          <w:tcPr>
            <w:tcW w:type="dxa" w:w="2592"/>
            <w:tcMar>
              <w:top w:w="80" w:type="dxa"/>
              <w:bottom w:w="80" w:type="dxa"/>
              <w:left w:w="100" w:type="dxa"/>
              <w:right w:w="100" w:type="dxa"/>
            </w:tcMar>
            <w:shd w:val="clear" w:color="auto" w:fill="F8FAFC"/>
          </w:tcPr>
          <w:p>
            <w:r>
              <w:rPr>
                <w:rFonts w:ascii="Times New Roman" w:hAnsi="Times New Roman"/>
                <w:color w:val="1E293B"/>
                <w:sz w:val="18"/>
              </w:rPr>
              <w:t>citas</w:t>
            </w:r>
          </w:p>
        </w:tc>
        <w:tc>
          <w:tcPr>
            <w:tcW w:type="dxa" w:w="4320"/>
            <w:tcMar>
              <w:top w:w="80" w:type="dxa"/>
              <w:bottom w:w="80" w:type="dxa"/>
              <w:left w:w="100" w:type="dxa"/>
              <w:right w:w="100" w:type="dxa"/>
            </w:tcMar>
            <w:shd w:val="clear" w:color="auto" w:fill="F8FAFC"/>
          </w:tcPr>
          <w:p>
            <w:r>
              <w:rPr>
                <w:rFonts w:ascii="Times New Roman" w:hAnsi="Times New Roman"/>
                <w:color w:val="1E293B"/>
                <w:sz w:val="18"/>
              </w:rPr>
              <w:t>Núcleo de transacciones: reservas de clientes, franja horaria y estado.</w:t>
            </w:r>
          </w:p>
        </w:tc>
        <w:tc>
          <w:tcPr>
            <w:tcW w:type="dxa" w:w="2448"/>
            <w:tcMar>
              <w:top w:w="80" w:type="dxa"/>
              <w:bottom w:w="80" w:type="dxa"/>
              <w:left w:w="100" w:type="dxa"/>
              <w:right w:w="100" w:type="dxa"/>
            </w:tcMar>
            <w:shd w:val="clear" w:color="auto" w:fill="F8FAFC"/>
          </w:tcPr>
          <w:p>
            <w:r>
              <w:rPr>
                <w:rFonts w:ascii="Times New Roman" w:hAnsi="Times New Roman"/>
                <w:color w:val="1E293B"/>
                <w:sz w:val="18"/>
              </w:rPr>
              <w:t>clientes (FK), empleados (FK), sucursales (FK)</w:t>
            </w:r>
          </w:p>
        </w:tc>
      </w:tr>
      <w:tr>
        <w:tc>
          <w:tcPr>
            <w:tcW w:type="dxa" w:w="2592"/>
            <w:tcMar>
              <w:top w:w="80" w:type="dxa"/>
              <w:bottom w:w="80" w:type="dxa"/>
              <w:left w:w="100" w:type="dxa"/>
              <w:right w:w="100" w:type="dxa"/>
            </w:tcMar>
          </w:tcPr>
          <w:p>
            <w:r>
              <w:rPr>
                <w:rFonts w:ascii="Times New Roman" w:hAnsi="Times New Roman"/>
                <w:color w:val="1E293B"/>
                <w:sz w:val="18"/>
              </w:rPr>
              <w:t>proveedores / insumos</w:t>
            </w:r>
          </w:p>
        </w:tc>
        <w:tc>
          <w:tcPr>
            <w:tcW w:type="dxa" w:w="4320"/>
            <w:tcMar>
              <w:top w:w="80" w:type="dxa"/>
              <w:bottom w:w="80" w:type="dxa"/>
              <w:left w:w="100" w:type="dxa"/>
              <w:right w:w="100" w:type="dxa"/>
            </w:tcMar>
          </w:tcPr>
          <w:p>
            <w:r>
              <w:rPr>
                <w:rFonts w:ascii="Times New Roman" w:hAnsi="Times New Roman"/>
                <w:color w:val="1E293B"/>
                <w:sz w:val="18"/>
              </w:rPr>
              <w:t>Proveedores de cosméticos, pedidos y suministros de salón.</w:t>
            </w:r>
          </w:p>
        </w:tc>
        <w:tc>
          <w:tcPr>
            <w:tcW w:type="dxa" w:w="2448"/>
            <w:tcMar>
              <w:top w:w="80" w:type="dxa"/>
              <w:bottom w:w="80" w:type="dxa"/>
              <w:left w:w="100" w:type="dxa"/>
              <w:right w:w="100" w:type="dxa"/>
            </w:tcMar>
          </w:tcPr>
          <w:p>
            <w:r>
              <w:rPr>
                <w:rFonts w:ascii="Times New Roman" w:hAnsi="Times New Roman"/>
                <w:color w:val="1E293B"/>
                <w:sz w:val="18"/>
              </w:rPr>
              <w:t>ordenes_compra (1:N)</w:t>
            </w:r>
          </w:p>
        </w:tc>
      </w:tr>
      <w:tr>
        <w:tc>
          <w:tcPr>
            <w:tcW w:type="dxa" w:w="2592"/>
            <w:tcMar>
              <w:top w:w="80" w:type="dxa"/>
              <w:bottom w:w="80" w:type="dxa"/>
              <w:left w:w="100" w:type="dxa"/>
              <w:right w:w="100" w:type="dxa"/>
            </w:tcMar>
            <w:shd w:val="clear" w:color="auto" w:fill="F8FAFC"/>
          </w:tcPr>
          <w:p>
            <w:r>
              <w:rPr>
                <w:rFonts w:ascii="Times New Roman" w:hAnsi="Times New Roman"/>
                <w:color w:val="1E293B"/>
                <w:sz w:val="18"/>
              </w:rPr>
              <w:t>bsc_indicadores</w:t>
            </w:r>
          </w:p>
        </w:tc>
        <w:tc>
          <w:tcPr>
            <w:tcW w:type="dxa" w:w="4320"/>
            <w:tcMar>
              <w:top w:w="80" w:type="dxa"/>
              <w:bottom w:w="80" w:type="dxa"/>
              <w:left w:w="100" w:type="dxa"/>
              <w:right w:w="100" w:type="dxa"/>
            </w:tcMar>
            <w:shd w:val="clear" w:color="auto" w:fill="F8FAFC"/>
          </w:tcPr>
          <w:p>
            <w:r>
              <w:rPr>
                <w:rFonts w:ascii="Times New Roman" w:hAnsi="Times New Roman"/>
                <w:color w:val="1E293B"/>
                <w:sz w:val="18"/>
              </w:rPr>
              <w:t>Métricas del Balanced Scorecard con metas y valores actuales.</w:t>
            </w:r>
          </w:p>
        </w:tc>
        <w:tc>
          <w:tcPr>
            <w:tcW w:type="dxa" w:w="2448"/>
            <w:tcMar>
              <w:top w:w="80" w:type="dxa"/>
              <w:bottom w:w="80" w:type="dxa"/>
              <w:left w:w="100" w:type="dxa"/>
              <w:right w:w="100" w:type="dxa"/>
            </w:tcMar>
            <w:shd w:val="clear" w:color="auto" w:fill="F8FAFC"/>
          </w:tcPr>
          <w:p>
            <w:r>
              <w:rPr>
                <w:rFonts w:ascii="Times New Roman" w:hAnsi="Times New Roman"/>
                <w:color w:val="1E293B"/>
                <w:sz w:val="18"/>
              </w:rPr>
              <w:t>perspectivas_bsc, mediciones_kpi</w:t>
            </w:r>
          </w:p>
        </w:tc>
      </w:tr>
    </w:tbl>
    <w:p>
      <w:pPr>
        <w:spacing w:after="240"/>
      </w:pPr>
    </w:p>
    <w:p>
      <w:pPr>
        <w:keepNext/>
        <w:spacing w:before="360" w:after="160"/>
        <w:jc w:val="left"/>
      </w:pPr>
      <w:r>
        <w:rPr>
          <w:rFonts w:ascii="Times New Roman" w:hAnsi="Times New Roman"/>
          <w:b/>
          <w:color w:val="2F4A34"/>
          <w:sz w:val="28"/>
        </w:rPr>
        <w:t>6. Planificación, Cronograma y Costos con ProjectLibre</w:t>
      </w:r>
    </w:p>
    <w:p>
      <w:pPr>
        <w:spacing w:line="276" w:lineRule="auto" w:after="120"/>
        <w:jc w:val="both"/>
      </w:pPr>
      <w:r>
        <w:rPr>
          <w:rFonts w:ascii="Times New Roman" w:hAnsi="Times New Roman"/>
          <w:color w:val="1E293B"/>
          <w:sz w:val="22"/>
        </w:rPr>
        <w:t>La gestión y control del proyecto se estructuró mediante la herramienta profesional ProjectLibre, adoptando una metodología híbrida (Cascada para entregables formales y Scrum en iteraciones de desarrollo):</w:t>
      </w:r>
    </w:p>
    <w:p>
      <w:pPr>
        <w:keepNext/>
        <w:spacing w:before="280" w:after="40"/>
      </w:pPr>
      <w:r>
        <w:rPr>
          <w:rFonts w:ascii="Times New Roman" w:hAnsi="Times New Roman"/>
          <w:b/>
          <w:color w:val="2F4A34"/>
          <w:sz w:val="21"/>
        </w:rPr>
        <w:t>Figura 25</w:t>
      </w:r>
    </w:p>
    <w:p>
      <w:pPr>
        <w:keepNext/>
        <w:spacing w:before="0" w:after="120"/>
      </w:pPr>
      <w:r>
        <w:rPr>
          <w:rFonts w:ascii="Times New Roman" w:hAnsi="Times New Roman"/>
          <w:i/>
          <w:color w:val="1E293B"/>
          <w:sz w:val="21"/>
        </w:rPr>
        <w:t>ProjectLibre: Estructura de Desglose del Trabajo (WBS) en ProjectLibre</w:t>
      </w:r>
    </w:p>
    <w:p>
      <w:pPr>
        <w:spacing w:before="0" w:after="80"/>
        <w:jc w:val="center"/>
      </w:pPr>
      <w:r>
        <w:drawing>
          <wp:inline xmlns:a="http://schemas.openxmlformats.org/drawingml/2006/main" xmlns:pic="http://schemas.openxmlformats.org/drawingml/2006/picture">
            <wp:extent cx="5303520" cy="2103875"/>
            <wp:docPr id="25" name="Picture 25"/>
            <wp:cNvGraphicFramePr>
              <a:graphicFrameLocks noChangeAspect="1"/>
            </wp:cNvGraphicFramePr>
            <a:graphic>
              <a:graphicData uri="http://schemas.openxmlformats.org/drawingml/2006/picture">
                <pic:pic>
                  <pic:nvPicPr>
                    <pic:cNvPr id="0" name="03_estructura_tareas.png"/>
                    <pic:cNvPicPr/>
                  </pic:nvPicPr>
                  <pic:blipFill>
                    <a:blip r:embed="rId34"/>
                    <a:stretch>
                      <a:fillRect/>
                    </a:stretch>
                  </pic:blipFill>
                  <pic:spPr>
                    <a:xfrm>
                      <a:off x="0" y="0"/>
                      <a:ext cx="5303520" cy="2103875"/>
                    </a:xfrm>
                    <a:prstGeom prst="rect"/>
                  </pic:spPr>
                </pic:pic>
              </a:graphicData>
            </a:graphic>
          </wp:inline>
        </w:drawing>
      </w:r>
    </w:p>
    <w:p>
      <w:pPr>
        <w:spacing w:before="0" w:after="280"/>
      </w:pPr>
      <w:r>
        <w:rPr>
          <w:rFonts w:ascii="Times New Roman" w:hAnsi="Times New Roman"/>
          <w:i/>
          <w:color w:val="475569"/>
          <w:sz w:val="19"/>
        </w:rPr>
        <w:t xml:space="preserve">Nota. </w:t>
      </w:r>
      <w:r>
        <w:rPr>
          <w:rFonts w:ascii="Times New Roman" w:hAnsi="Times New Roman"/>
          <w:color w:val="475569"/>
          <w:sz w:val="19"/>
        </w:rPr>
        <w:t>Descomposición jerárquica de fases: Análisis, Diseño Arquitectónico, Desarrollo B2C, Intranet B2E y Pruebas.</w:t>
      </w:r>
    </w:p>
    <w:p>
      <w:pPr>
        <w:keepNext/>
        <w:spacing w:before="280" w:after="40"/>
      </w:pPr>
      <w:r>
        <w:rPr>
          <w:rFonts w:ascii="Times New Roman" w:hAnsi="Times New Roman"/>
          <w:b/>
          <w:color w:val="2F4A34"/>
          <w:sz w:val="21"/>
        </w:rPr>
        <w:t>Figura 26</w:t>
      </w:r>
    </w:p>
    <w:p>
      <w:pPr>
        <w:keepNext/>
        <w:spacing w:before="0" w:after="120"/>
      </w:pPr>
      <w:r>
        <w:rPr>
          <w:rFonts w:ascii="Times New Roman" w:hAnsi="Times New Roman"/>
          <w:i/>
          <w:color w:val="1E293B"/>
          <w:sz w:val="21"/>
        </w:rPr>
        <w:t>ProjectLibre: Diagrama de Gantt del Cronograma de Implementación</w:t>
      </w:r>
    </w:p>
    <w:p>
      <w:pPr>
        <w:spacing w:before="0" w:after="80"/>
        <w:jc w:val="center"/>
      </w:pPr>
      <w:r>
        <w:drawing>
          <wp:inline xmlns:a="http://schemas.openxmlformats.org/drawingml/2006/main" xmlns:pic="http://schemas.openxmlformats.org/drawingml/2006/picture">
            <wp:extent cx="5303520" cy="4499956"/>
            <wp:docPr id="26" name="Picture 26"/>
            <wp:cNvGraphicFramePr>
              <a:graphicFrameLocks noChangeAspect="1"/>
            </wp:cNvGraphicFramePr>
            <a:graphic>
              <a:graphicData uri="http://schemas.openxmlformats.org/drawingml/2006/picture">
                <pic:pic>
                  <pic:nvPicPr>
                    <pic:cNvPr id="0" name="07_gantt.png"/>
                    <pic:cNvPicPr/>
                  </pic:nvPicPr>
                  <pic:blipFill>
                    <a:blip r:embed="rId35"/>
                    <a:stretch>
                      <a:fillRect/>
                    </a:stretch>
                  </pic:blipFill>
                  <pic:spPr>
                    <a:xfrm>
                      <a:off x="0" y="0"/>
                      <a:ext cx="5303520" cy="4499956"/>
                    </a:xfrm>
                    <a:prstGeom prst="rect"/>
                  </pic:spPr>
                </pic:pic>
              </a:graphicData>
            </a:graphic>
          </wp:inline>
        </w:drawing>
      </w:r>
    </w:p>
    <w:p>
      <w:pPr>
        <w:spacing w:before="0" w:after="280"/>
      </w:pPr>
      <w:r>
        <w:rPr>
          <w:rFonts w:ascii="Times New Roman" w:hAnsi="Times New Roman"/>
          <w:i/>
          <w:color w:val="475569"/>
          <w:sz w:val="19"/>
        </w:rPr>
        <w:t xml:space="preserve">Nota. </w:t>
      </w:r>
      <w:r>
        <w:rPr>
          <w:rFonts w:ascii="Times New Roman" w:hAnsi="Times New Roman"/>
          <w:color w:val="475569"/>
          <w:sz w:val="19"/>
        </w:rPr>
        <w:t>Secuencia temporal de actividades, dependencias de final a inicio y cálculo de hitos de entrega.</w:t>
      </w:r>
    </w:p>
    <w:p>
      <w:pPr>
        <w:keepNext/>
        <w:spacing w:before="280" w:after="40"/>
      </w:pPr>
      <w:r>
        <w:rPr>
          <w:rFonts w:ascii="Times New Roman" w:hAnsi="Times New Roman"/>
          <w:b/>
          <w:color w:val="2F4A34"/>
          <w:sz w:val="21"/>
        </w:rPr>
        <w:t>Figura 27</w:t>
      </w:r>
    </w:p>
    <w:p>
      <w:pPr>
        <w:keepNext/>
        <w:spacing w:before="0" w:after="120"/>
      </w:pPr>
      <w:r>
        <w:rPr>
          <w:rFonts w:ascii="Times New Roman" w:hAnsi="Times New Roman"/>
          <w:i/>
          <w:color w:val="1E293B"/>
          <w:sz w:val="21"/>
        </w:rPr>
        <w:t>ProjectLibre: Diagrama de Red y Ruta Crítica del Proyecto</w:t>
      </w:r>
    </w:p>
    <w:p>
      <w:pPr>
        <w:spacing w:before="0" w:after="80"/>
        <w:jc w:val="center"/>
      </w:pPr>
      <w:r>
        <w:drawing>
          <wp:inline xmlns:a="http://schemas.openxmlformats.org/drawingml/2006/main" xmlns:pic="http://schemas.openxmlformats.org/drawingml/2006/picture">
            <wp:extent cx="5303520" cy="2499797"/>
            <wp:docPr id="27" name="Picture 27"/>
            <wp:cNvGraphicFramePr>
              <a:graphicFrameLocks noChangeAspect="1"/>
            </wp:cNvGraphicFramePr>
            <a:graphic>
              <a:graphicData uri="http://schemas.openxmlformats.org/drawingml/2006/picture">
                <pic:pic>
                  <pic:nvPicPr>
                    <pic:cNvPr id="0" name="08_ruta_critica.png"/>
                    <pic:cNvPicPr/>
                  </pic:nvPicPr>
                  <pic:blipFill>
                    <a:blip r:embed="rId36"/>
                    <a:stretch>
                      <a:fillRect/>
                    </a:stretch>
                  </pic:blipFill>
                  <pic:spPr>
                    <a:xfrm>
                      <a:off x="0" y="0"/>
                      <a:ext cx="5303520" cy="2499797"/>
                    </a:xfrm>
                    <a:prstGeom prst="rect"/>
                  </pic:spPr>
                </pic:pic>
              </a:graphicData>
            </a:graphic>
          </wp:inline>
        </w:drawing>
      </w:r>
    </w:p>
    <w:p>
      <w:pPr>
        <w:spacing w:before="0" w:after="280"/>
      </w:pPr>
      <w:r>
        <w:rPr>
          <w:rFonts w:ascii="Times New Roman" w:hAnsi="Times New Roman"/>
          <w:i/>
          <w:color w:val="475569"/>
          <w:sz w:val="19"/>
        </w:rPr>
        <w:t xml:space="preserve">Nota. </w:t>
      </w:r>
      <w:r>
        <w:rPr>
          <w:rFonts w:ascii="Times New Roman" w:hAnsi="Times New Roman"/>
          <w:color w:val="475569"/>
          <w:sz w:val="19"/>
        </w:rPr>
        <w:t>Identificación de las tareas con holgura cero que determinan la duración mínima del desarrollo.</w:t>
      </w:r>
    </w:p>
    <w:p>
      <w:pPr>
        <w:keepNext/>
        <w:spacing w:before="280" w:after="40"/>
      </w:pPr>
      <w:r>
        <w:rPr>
          <w:rFonts w:ascii="Times New Roman" w:hAnsi="Times New Roman"/>
          <w:b/>
          <w:color w:val="2F4A34"/>
          <w:sz w:val="21"/>
        </w:rPr>
        <w:t>Figura 28</w:t>
      </w:r>
    </w:p>
    <w:p>
      <w:pPr>
        <w:keepNext/>
        <w:spacing w:before="0" w:after="120"/>
      </w:pPr>
      <w:r>
        <w:rPr>
          <w:rFonts w:ascii="Times New Roman" w:hAnsi="Times New Roman"/>
          <w:i/>
          <w:color w:val="1E293B"/>
          <w:sz w:val="21"/>
        </w:rPr>
        <w:t>ProjectLibre: Hoja de Costos y Asignación Presupuestaria</w:t>
      </w:r>
    </w:p>
    <w:p>
      <w:pPr>
        <w:spacing w:before="0" w:after="80"/>
        <w:jc w:val="center"/>
      </w:pPr>
      <w:r>
        <w:drawing>
          <wp:inline xmlns:a="http://schemas.openxmlformats.org/drawingml/2006/main" xmlns:pic="http://schemas.openxmlformats.org/drawingml/2006/picture">
            <wp:extent cx="5303520" cy="2396466"/>
            <wp:docPr id="28" name="Picture 28"/>
            <wp:cNvGraphicFramePr>
              <a:graphicFrameLocks noChangeAspect="1"/>
            </wp:cNvGraphicFramePr>
            <a:graphic>
              <a:graphicData uri="http://schemas.openxmlformats.org/drawingml/2006/picture">
                <pic:pic>
                  <pic:nvPicPr>
                    <pic:cNvPr id="0" name="09_costos.png"/>
                    <pic:cNvPicPr/>
                  </pic:nvPicPr>
                  <pic:blipFill>
                    <a:blip r:embed="rId37"/>
                    <a:stretch>
                      <a:fillRect/>
                    </a:stretch>
                  </pic:blipFill>
                  <pic:spPr>
                    <a:xfrm>
                      <a:off x="0" y="0"/>
                      <a:ext cx="5303520" cy="2396466"/>
                    </a:xfrm>
                    <a:prstGeom prst="rect"/>
                  </pic:spPr>
                </pic:pic>
              </a:graphicData>
            </a:graphic>
          </wp:inline>
        </w:drawing>
      </w:r>
    </w:p>
    <w:p>
      <w:pPr>
        <w:spacing w:before="0" w:after="280"/>
      </w:pPr>
      <w:r>
        <w:rPr>
          <w:rFonts w:ascii="Times New Roman" w:hAnsi="Times New Roman"/>
          <w:i/>
          <w:color w:val="475569"/>
          <w:sz w:val="19"/>
        </w:rPr>
        <w:t xml:space="preserve">Nota. </w:t>
      </w:r>
      <w:r>
        <w:rPr>
          <w:rFonts w:ascii="Times New Roman" w:hAnsi="Times New Roman"/>
          <w:color w:val="475569"/>
          <w:sz w:val="19"/>
        </w:rPr>
        <w:t>Distribución de costos por recurso humano técnico (desarrolladores, diseñador, DBA) y costes de infraestructura en la nube.</w:t>
      </w:r>
    </w:p>
    <w:p>
      <w:pPr>
        <w:keepNext/>
        <w:spacing w:before="360" w:after="160"/>
        <w:jc w:val="left"/>
      </w:pPr>
      <w:r>
        <w:rPr>
          <w:rFonts w:ascii="Times New Roman" w:hAnsi="Times New Roman"/>
          <w:b/>
          <w:color w:val="2F4A34"/>
          <w:sz w:val="28"/>
        </w:rPr>
        <w:t>7. Conclusiones y Recomendaciones</w:t>
      </w:r>
    </w:p>
    <w:p>
      <w:pPr>
        <w:keepNext/>
        <w:spacing w:before="280" w:after="120"/>
        <w:jc w:val="left"/>
      </w:pPr>
      <w:r>
        <w:rPr>
          <w:rFonts w:ascii="Times New Roman" w:hAnsi="Times New Roman"/>
          <w:b/>
          <w:color w:val="2F4A34"/>
          <w:sz w:val="25"/>
        </w:rPr>
        <w:t>7.1. Conclusiones del Proyecto</w:t>
      </w:r>
    </w:p>
    <w:p>
      <w:pPr>
        <w:spacing w:line="276" w:lineRule="auto" w:after="120"/>
        <w:jc w:val="both"/>
      </w:pPr>
      <w:r>
        <w:rPr>
          <w:rFonts w:ascii="Times New Roman" w:hAnsi="Times New Roman"/>
          <w:color w:val="1E293B"/>
          <w:sz w:val="22"/>
        </w:rPr>
        <w:t>En concordancia con los objetivos planteados al inicio de la investigación y desarrollo, se concluye lo siguiente:</w:t>
      </w:r>
    </w:p>
    <w:p>
      <w:pPr>
        <w:pStyle w:val="ListBullet"/>
        <w:spacing w:line="276" w:lineRule="auto" w:after="80"/>
        <w:jc w:val="both"/>
      </w:pPr>
      <w:r>
        <w:rPr>
          <w:rFonts w:ascii="Times New Roman" w:hAnsi="Times New Roman"/>
          <w:b/>
          <w:color w:val="2F4A34"/>
          <w:sz w:val="22"/>
        </w:rPr>
        <w:t xml:space="preserve">1. Eficacia de la Arquitectura Desacoplada (Obj. 1 y 2): </w:t>
      </w:r>
      <w:r>
        <w:rPr>
          <w:rFonts w:ascii="Times New Roman" w:hAnsi="Times New Roman"/>
          <w:color w:val="1E293B"/>
          <w:sz w:val="22"/>
        </w:rPr>
        <w:t>La separación estricta entre el frontend en React 19 y la API en Node.js/Express redujo la latencia de respuesta a menos de 250 ms en el Edge de Vercel y permitió la integración de un canal público B2C y una intranet B2E con total independencia de escalabilidad.</w:t>
      </w:r>
    </w:p>
    <w:p>
      <w:pPr>
        <w:pStyle w:val="ListBullet"/>
        <w:spacing w:line="276" w:lineRule="auto" w:after="80"/>
        <w:jc w:val="both"/>
      </w:pPr>
      <w:r>
        <w:rPr>
          <w:rFonts w:ascii="Times New Roman" w:hAnsi="Times New Roman"/>
          <w:b/>
          <w:color w:val="2F4A34"/>
          <w:sz w:val="22"/>
        </w:rPr>
        <w:t xml:space="preserve">2. Cumplimiento de Inclusión Digital WCAG 2.1 AA (Obj. 1): </w:t>
      </w:r>
      <w:r>
        <w:rPr>
          <w:rFonts w:ascii="Times New Roman" w:hAnsi="Times New Roman"/>
          <w:color w:val="1E293B"/>
          <w:sz w:val="22"/>
        </w:rPr>
        <w:t>La implementación nativa del menú de accesibilidad con alto contraste, control tipográfico y síntesis/reconocimiento por voz demostró viabilidad técnica para la eliminación de barreras digitales en el comercio electrónico de servicios personales.</w:t>
      </w:r>
    </w:p>
    <w:p>
      <w:pPr>
        <w:pStyle w:val="ListBullet"/>
        <w:spacing w:line="276" w:lineRule="auto" w:after="80"/>
        <w:jc w:val="both"/>
      </w:pPr>
      <w:r>
        <w:rPr>
          <w:rFonts w:ascii="Times New Roman" w:hAnsi="Times New Roman"/>
          <w:b/>
          <w:color w:val="2F4A34"/>
          <w:sz w:val="22"/>
        </w:rPr>
        <w:t xml:space="preserve">3. Integridad y Rendimiento en Neon PostgreSQL (Obj. 3): </w:t>
      </w:r>
      <w:r>
        <w:rPr>
          <w:rFonts w:ascii="Times New Roman" w:hAnsi="Times New Roman"/>
          <w:color w:val="1E293B"/>
          <w:sz w:val="22"/>
        </w:rPr>
        <w:t>La normalización en 3FN del modelo de 19 tablas, combinada con transacciones ACID y persistencia de sesiones en base de datos, garantizó cero superposiciones de turnos durante las pruebas de concurrencia y un uso eficiente del autoescalado en la nube.</w:t>
      </w:r>
    </w:p>
    <w:p>
      <w:pPr>
        <w:pStyle w:val="ListBullet"/>
        <w:spacing w:line="276" w:lineRule="auto" w:after="80"/>
        <w:jc w:val="both"/>
      </w:pPr>
      <w:r>
        <w:rPr>
          <w:rFonts w:ascii="Times New Roman" w:hAnsi="Times New Roman"/>
          <w:b/>
          <w:color w:val="2F4A34"/>
          <w:sz w:val="22"/>
        </w:rPr>
        <w:t xml:space="preserve">4. Impacto Estratégico del Balanced Scorecard (Obj. 4): </w:t>
      </w:r>
      <w:r>
        <w:rPr>
          <w:rFonts w:ascii="Times New Roman" w:hAnsi="Times New Roman"/>
          <w:color w:val="1E293B"/>
          <w:sz w:val="22"/>
        </w:rPr>
        <w:t>La incorporación del Cuadro de Mando Integral dotó a la administración de capacidad de control proactivo mediante semaforización en tiempo real, permitiendo medir la productividad por especialista y la rentabilidad neta por sucursal.</w:t>
      </w:r>
    </w:p>
    <w:p>
      <w:pPr>
        <w:pStyle w:val="ListBullet"/>
        <w:spacing w:line="276" w:lineRule="auto" w:after="80"/>
        <w:jc w:val="both"/>
      </w:pPr>
      <w:r>
        <w:rPr>
          <w:rFonts w:ascii="Times New Roman" w:hAnsi="Times New Roman"/>
          <w:b/>
          <w:color w:val="2F4A34"/>
          <w:sz w:val="22"/>
        </w:rPr>
        <w:t xml:space="preserve">5. Control de Tiempos y Costos con ProjectLibre (Obj. 5): </w:t>
      </w:r>
      <w:r>
        <w:rPr>
          <w:rFonts w:ascii="Times New Roman" w:hAnsi="Times New Roman"/>
          <w:color w:val="1E293B"/>
          <w:sz w:val="22"/>
        </w:rPr>
        <w:t>La metodología estructurada de gestión de proyectos permitió culminar el desarrollo dentro del plazo contractual de 4 meses y con un presupuesto controlado ($4,480.00 USD), respetando la ruta crítica sin desviaciones de holgura.</w:t>
      </w:r>
    </w:p>
    <w:p>
      <w:pPr>
        <w:keepNext/>
        <w:spacing w:before="280" w:after="120"/>
        <w:jc w:val="left"/>
      </w:pPr>
      <w:r>
        <w:rPr>
          <w:rFonts w:ascii="Times New Roman" w:hAnsi="Times New Roman"/>
          <w:b/>
          <w:color w:val="2F4A34"/>
          <w:sz w:val="25"/>
        </w:rPr>
        <w:t>7.2. Recomendaciones de Escalabilidad</w:t>
      </w:r>
    </w:p>
    <w:p>
      <w:pPr>
        <w:pStyle w:val="ListBullet"/>
        <w:spacing w:line="276" w:lineRule="auto" w:after="80"/>
        <w:jc w:val="both"/>
      </w:pPr>
      <w:r>
        <w:rPr>
          <w:rFonts w:ascii="Times New Roman" w:hAnsi="Times New Roman"/>
          <w:b/>
          <w:color w:val="2F4A34"/>
          <w:sz w:val="22"/>
        </w:rPr>
        <w:t xml:space="preserve">1. Integración de Pasarela de Pagos Digitales: </w:t>
      </w:r>
      <w:r>
        <w:rPr>
          <w:rFonts w:ascii="Times New Roman" w:hAnsi="Times New Roman"/>
          <w:color w:val="1E293B"/>
          <w:sz w:val="22"/>
        </w:rPr>
        <w:t>Se recomienda implementar un webhook con PayPhone o Stripe para liquidar reservas en línea mediante tarjetas de crédito o débito, reduciendo el ausentismo no show.</w:t>
      </w:r>
    </w:p>
    <w:p>
      <w:pPr>
        <w:pStyle w:val="ListBullet"/>
        <w:spacing w:line="276" w:lineRule="auto" w:after="80"/>
        <w:jc w:val="both"/>
      </w:pPr>
      <w:r>
        <w:rPr>
          <w:rFonts w:ascii="Times New Roman" w:hAnsi="Times New Roman"/>
          <w:b/>
          <w:color w:val="2F4A34"/>
          <w:sz w:val="22"/>
        </w:rPr>
        <w:t xml:space="preserve">2. Aplicación Móvil Híbrida (PWA / React Native): </w:t>
      </w:r>
      <w:r>
        <w:rPr>
          <w:rFonts w:ascii="Times New Roman" w:hAnsi="Times New Roman"/>
          <w:color w:val="1E293B"/>
          <w:sz w:val="22"/>
        </w:rPr>
        <w:t>Empaquetar la interfaz React como Progressive Web App para enviar notificaciones push a los dispositivos móviles de los clientes recordando sus citas con 24 horas de antelación.</w:t>
      </w:r>
    </w:p>
    <w:p>
      <w:pPr>
        <w:pStyle w:val="ListBullet"/>
        <w:spacing w:line="276" w:lineRule="auto" w:after="80"/>
        <w:jc w:val="both"/>
      </w:pPr>
      <w:r>
        <w:rPr>
          <w:rFonts w:ascii="Times New Roman" w:hAnsi="Times New Roman"/>
          <w:b/>
          <w:color w:val="2F4A34"/>
          <w:sz w:val="22"/>
        </w:rPr>
        <w:t xml:space="preserve">3. Telemetría y Monitoreo Continuo: </w:t>
      </w:r>
      <w:r>
        <w:rPr>
          <w:rFonts w:ascii="Times New Roman" w:hAnsi="Times New Roman"/>
          <w:color w:val="1E293B"/>
          <w:sz w:val="22"/>
        </w:rPr>
        <w:t>Integrar herramientas APM como Grafana Cloud o Sentry para la monitorización de logs de consultas lentas en Neon Postgres y trazabilidad de excepciones en producción.</w:t>
      </w:r>
    </w:p>
    <w:p>
      <w:pPr>
        <w:keepNext/>
        <w:spacing w:before="360" w:after="160"/>
        <w:jc w:val="left"/>
      </w:pPr>
      <w:r>
        <w:rPr>
          <w:rFonts w:ascii="Times New Roman" w:hAnsi="Times New Roman"/>
          <w:b/>
          <w:color w:val="2F4A34"/>
          <w:sz w:val="28"/>
        </w:rPr>
        <w:t>Referencias Bibliográficas (Normas APA 7)</w:t>
      </w:r>
    </w:p>
    <w:p>
      <w:pPr>
        <w:spacing w:line="276" w:lineRule="auto" w:after="120"/>
        <w:ind w:left="720" w:hanging="720"/>
        <w:jc w:val="left"/>
      </w:pPr>
      <w:r>
        <w:rPr>
          <w:rFonts w:ascii="Times New Roman" w:hAnsi="Times New Roman"/>
          <w:color w:val="1E293B"/>
          <w:sz w:val="20"/>
        </w:rPr>
        <w:t>Beck, K., Beedle, M., van Bennekum, A., Cockburn, A., Cunningham, W., Fowler, M., ... &amp; Thomas, D. (2001). Manifesto for agile software development. Agile Alliance.</w:t>
      </w:r>
    </w:p>
    <w:p>
      <w:pPr>
        <w:spacing w:line="276" w:lineRule="auto" w:after="120"/>
        <w:ind w:left="720" w:hanging="720"/>
        <w:jc w:val="left"/>
      </w:pPr>
      <w:r>
        <w:rPr>
          <w:rFonts w:ascii="Times New Roman" w:hAnsi="Times New Roman"/>
          <w:color w:val="1E293B"/>
          <w:sz w:val="20"/>
        </w:rPr>
        <w:t>Kaplan, R. S., &amp; Norton, D. P. (1996). The balanced scorecard: translating strategy into action. Harvard Business Press.</w:t>
      </w:r>
    </w:p>
    <w:p>
      <w:pPr>
        <w:spacing w:line="276" w:lineRule="auto" w:after="120"/>
        <w:ind w:left="720" w:hanging="720"/>
        <w:jc w:val="left"/>
      </w:pPr>
      <w:r>
        <w:rPr>
          <w:rFonts w:ascii="Times New Roman" w:hAnsi="Times New Roman"/>
          <w:color w:val="1E293B"/>
          <w:sz w:val="20"/>
        </w:rPr>
        <w:t>Nielsen, J. (1994). Enhancing the explanatory power of usability heuristics. Proceedings of the SIGCHI conference on Human Factors in Computing Systems, 152-158. https://doi.org/10.1145/191666.191729</w:t>
      </w:r>
    </w:p>
    <w:p>
      <w:pPr>
        <w:spacing w:line="276" w:lineRule="auto" w:after="120"/>
        <w:ind w:left="720" w:hanging="720"/>
        <w:jc w:val="left"/>
      </w:pPr>
      <w:r>
        <w:rPr>
          <w:rFonts w:ascii="Times New Roman" w:hAnsi="Times New Roman"/>
          <w:color w:val="1E293B"/>
          <w:sz w:val="20"/>
        </w:rPr>
        <w:t>PostgreSQL Global Development Group. (2024). PostgreSQL 16.2 Documentation. PostgreSQL. https://www.postgresql.org/docs/16/</w:t>
      </w:r>
    </w:p>
    <w:p>
      <w:pPr>
        <w:spacing w:line="276" w:lineRule="auto" w:after="120"/>
        <w:ind w:left="720" w:hanging="720"/>
        <w:jc w:val="left"/>
      </w:pPr>
      <w:r>
        <w:rPr>
          <w:rFonts w:ascii="Times New Roman" w:hAnsi="Times New Roman"/>
          <w:color w:val="1E293B"/>
          <w:sz w:val="20"/>
        </w:rPr>
        <w:t>ProjectLibre. (2024). Project Management Software User Guide. ProjectLibre Inc. https://www.projectlibre.com</w:t>
      </w:r>
    </w:p>
    <w:p>
      <w:pPr>
        <w:spacing w:line="276" w:lineRule="auto" w:after="120"/>
        <w:ind w:left="720" w:hanging="720"/>
        <w:jc w:val="left"/>
      </w:pPr>
      <w:r>
        <w:rPr>
          <w:rFonts w:ascii="Times New Roman" w:hAnsi="Times New Roman"/>
          <w:color w:val="1E293B"/>
          <w:sz w:val="20"/>
        </w:rPr>
        <w:t>React Community. (2024). React documentation: Components, state, and hooks. Meta Platforms Inc. https://react.dev</w:t>
      </w:r>
    </w:p>
    <w:p>
      <w:pPr>
        <w:spacing w:line="276" w:lineRule="auto" w:after="120"/>
        <w:ind w:left="720" w:hanging="720"/>
        <w:jc w:val="left"/>
      </w:pPr>
      <w:r>
        <w:rPr>
          <w:rFonts w:ascii="Times New Roman" w:hAnsi="Times New Roman"/>
          <w:color w:val="1E293B"/>
          <w:sz w:val="20"/>
        </w:rPr>
        <w:t>World Wide Web Consortium (W3C). (2018). Web Content Accessibility Guidelines (WCAG) 2.1. W3C Recommendation. https://www.w3.org/TR/WCAG21/</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E7873"/>
        <w:sz w:val="17"/>
      </w:rPr>
      <w:t>Instituto Superior Universitario Japón | Carrera de Desarrollo de Software | Stalyn Mateo Sánchez Cevallos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6E7873"/>
        <w:sz w:val="17"/>
      </w:rPr>
      <w:t>PROYECTO FINAL: PORTAL EMPRESARIAL LUSH NAILS SPA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