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p>
    <w:p>
      <w:pPr>
        <w:spacing w:line="240" w:lineRule="auto"/>
      </w:pPr>
    </w:p>
    <w:p>
      <w:pPr>
        <w:spacing w:line="240" w:lineRule="auto"/>
      </w:pPr>
    </w:p>
    <w:p>
      <w:pPr>
        <w:spacing w:line="480" w:lineRule="auto"/>
        <w:jc w:val="center"/>
      </w:pPr>
      <w:r>
        <w:rPr>
          <w:b/>
          <w:sz w:val="24"/>
        </w:rPr>
        <w:t>Análisis y Evaluación de Portales Empresariales Corporativos:</w:t>
      </w:r>
      <w:r>
        <w:br/>
      </w:r>
      <w:r>
        <w:rPr>
          <w:b/>
          <w:sz w:val="24"/>
        </w:rPr>
        <w:t>Arquitectura Técnica, Gestión de Contenidos y Colaboración en Microsoft SharePoint frente a SAP Fiori y Oracle WebCenter</w:t>
      </w:r>
    </w:p>
    <w:p>
      <w:pPr>
        <w:spacing w:line="480" w:lineRule="auto"/>
        <w:jc w:val="center"/>
      </w:pPr>
      <w:r>
        <w:rPr>
          <w:sz w:val="24"/>
        </w:rPr>
        <w:t>Informe Técnico – Taller 3 (Unidad 3)</w:t>
      </w:r>
    </w:p>
    <w:p>
      <w:pPr>
        <w:spacing w:line="240" w:lineRule="auto"/>
      </w:pPr>
    </w:p>
    <w:p>
      <w:pPr>
        <w:spacing w:line="240" w:lineRule="auto"/>
      </w:pPr>
    </w:p>
    <w:p>
      <w:pPr>
        <w:spacing w:line="240" w:lineRule="auto"/>
      </w:pPr>
    </w:p>
    <w:p>
      <w:pPr>
        <w:spacing w:line="240" w:lineRule="auto"/>
      </w:pPr>
    </w:p>
    <w:p>
      <w:pPr>
        <w:spacing w:line="480" w:lineRule="auto" w:before="0" w:after="0"/>
        <w:jc w:val="center"/>
      </w:pPr>
      <w:r>
        <w:rPr>
          <w:sz w:val="24"/>
        </w:rPr>
        <w:t>Nombre del Estudiante: Stalyn Mateo Sánchez Cevallos</w:t>
      </w:r>
    </w:p>
    <w:p>
      <w:pPr>
        <w:spacing w:line="480" w:lineRule="auto" w:before="0" w:after="0"/>
        <w:jc w:val="center"/>
      </w:pPr>
      <w:r>
        <w:rPr>
          <w:sz w:val="24"/>
        </w:rPr>
        <w:t>Carrera: 4.° Nivel – Desarrollo de Software</w:t>
      </w:r>
    </w:p>
    <w:p>
      <w:pPr>
        <w:spacing w:line="480" w:lineRule="auto" w:before="0" w:after="0"/>
        <w:jc w:val="center"/>
      </w:pPr>
      <w:r>
        <w:rPr>
          <w:sz w:val="24"/>
        </w:rPr>
        <w:t>Institución: Instituto Superior Universitario Japón</w:t>
      </w:r>
    </w:p>
    <w:p>
      <w:pPr>
        <w:spacing w:line="480" w:lineRule="auto" w:before="0" w:after="0"/>
        <w:jc w:val="center"/>
      </w:pPr>
      <w:r>
        <w:rPr>
          <w:sz w:val="24"/>
        </w:rPr>
        <w:t>Asignatura: Desarrollo de Portales Empresariales o Corporativos</w:t>
      </w:r>
    </w:p>
    <w:p>
      <w:pPr>
        <w:spacing w:line="480" w:lineRule="auto" w:before="0" w:after="0"/>
        <w:jc w:val="center"/>
      </w:pPr>
      <w:r>
        <w:rPr>
          <w:sz w:val="24"/>
        </w:rPr>
        <w:t>Código de Asignatura: QU-DSW-AM-DESF_L405-19886</w:t>
      </w:r>
    </w:p>
    <w:p>
      <w:pPr>
        <w:spacing w:line="480" w:lineRule="auto" w:before="0" w:after="0"/>
        <w:jc w:val="center"/>
      </w:pPr>
      <w:r>
        <w:rPr>
          <w:sz w:val="24"/>
        </w:rPr>
        <w:t>Docente de la Cátedra: Ing. Docente Tutor</w:t>
      </w:r>
    </w:p>
    <w:p>
      <w:pPr>
        <w:spacing w:line="480" w:lineRule="auto" w:before="0" w:after="0"/>
        <w:jc w:val="center"/>
      </w:pPr>
      <w:r>
        <w:rPr>
          <w:sz w:val="24"/>
        </w:rPr>
        <w:t>Fecha de Entrega: 14 de septiembre de 2026</w:t>
      </w:r>
    </w:p>
    <w:p>
      <w:r>
        <w:br w:type="page"/>
      </w:r>
    </w:p>
    <w:p>
      <w:pPr>
        <w:spacing w:line="480" w:lineRule="auto" w:before="240" w:after="120"/>
        <w:jc w:val="center"/>
      </w:pPr>
      <w:r>
        <w:rPr>
          <w:rFonts w:ascii="Times New Roman" w:hAnsi="Times New Roman"/>
          <w:b/>
          <w:sz w:val="24"/>
        </w:rPr>
        <w:t>Análisis y Evaluación de Portales Empresariales Corporativos</w:t>
      </w:r>
    </w:p>
    <w:p>
      <w:pPr>
        <w:spacing w:line="480" w:lineRule="auto" w:before="240" w:after="80"/>
        <w:jc w:val="left"/>
      </w:pPr>
      <w:r>
        <w:rPr>
          <w:rFonts w:ascii="Times New Roman" w:hAnsi="Times New Roman"/>
          <w:b/>
          <w:sz w:val="24"/>
        </w:rPr>
        <w:t>1. Introducción y Contextualización</w:t>
      </w:r>
    </w:p>
    <w:p>
      <w:pPr>
        <w:spacing w:line="480" w:lineRule="auto" w:before="0" w:after="0"/>
        <w:ind w:firstLine="720"/>
        <w:jc w:val="both"/>
      </w:pPr>
      <w:r>
        <w:rPr>
          <w:rFonts w:ascii="Times New Roman" w:hAnsi="Times New Roman"/>
          <w:sz w:val="24"/>
        </w:rPr>
        <w:t>En la sociedad del conocimiento y la economía digital, las organizaciones contemporáneas se enfrentan a un volumen sin precedentes de datos dispersos en múltiples repositorios, herramientas de mensajería y sistemas transaccionales legados. Este fenómeno, comúnmente denominado fragmentación de la información o silos departamentales, genera severas ineficiencias operativas, duplicidad de esfuerzos, inconsistencias documentales y riesgos críticos para la seguridad corporativa. Frente a estos desafíos estructurales, los Portales de Información Empresarial (Enterprise Information Portals, EIP) han evolucionado desde simples directorios o páginas de bienvenida en intranets primitivas hasta convertirse en complejas plataformas de integración, gobernanza, automatización y colaboración corporativa de misión crítica (Laudon &amp; Laudon, 2022).</w:t>
      </w:r>
    </w:p>
    <w:p>
      <w:pPr>
        <w:spacing w:line="480" w:lineRule="auto" w:before="0" w:after="0"/>
        <w:ind w:firstLine="720"/>
        <w:jc w:val="both"/>
      </w:pPr>
      <w:r>
        <w:rPr>
          <w:rFonts w:ascii="Times New Roman" w:hAnsi="Times New Roman"/>
          <w:sz w:val="24"/>
        </w:rPr>
        <w:t>Un portal empresarial moderno actúa como un punto centralizado, unificado y altamente personalizable que orquesta el acceso a aplicaciones de negocio, repositorios documentales, flujos de aprobación y canales de comunicación organizacional bajo estrictos esquemas de Control de Acceso Basado en Roles (RBAC) y mecanismos de Autenticación Única (Single Sign-On, SSO). En este contexto académico, el presente taller tiene como propósito analizar de manera exhaustiva una de las plataformas líderes más consolidadas a nivel mundial: Microsoft SharePoint (específicamente en su versión en la nube SharePoint Online integrada en el ecosistema Microsoft 365). Asimismo, se establece una comparativa técnica frente a otras soluciones de envergadura como SAP Fiori y Oracle WebCenter, evaluando su arquitectura de software, gestión documental, capacidades de automatización y su pertinencia en casos reales de negocio.</w:t>
      </w:r>
    </w:p>
    <w:p>
      <w:pPr>
        <w:spacing w:line="480" w:lineRule="auto" w:before="240" w:after="80"/>
        <w:jc w:val="left"/>
      </w:pPr>
      <w:r>
        <w:rPr>
          <w:rFonts w:ascii="Times New Roman" w:hAnsi="Times New Roman"/>
          <w:b/>
          <w:sz w:val="24"/>
        </w:rPr>
        <w:t>2. Arquitectura Técnica de Microsoft SharePoint</w:t>
      </w:r>
    </w:p>
    <w:p>
      <w:pPr>
        <w:spacing w:line="480" w:lineRule="auto" w:before="0" w:after="0"/>
        <w:ind w:firstLine="720"/>
        <w:jc w:val="both"/>
      </w:pPr>
      <w:r>
        <w:rPr>
          <w:rFonts w:ascii="Times New Roman" w:hAnsi="Times New Roman"/>
          <w:sz w:val="24"/>
        </w:rPr>
        <w:t>La arquitectura de Microsoft SharePoint ha transitado por una profunda transformación a lo largo de las últimas dos décadas. Históricamente, las implementaciones locales (SharePoint Server 2010/2013/2016) se estructuraban en granjas de servidores físicas o virtualizadas (Server Farms) con una marcada división de tres niveles: Nivel Web (Web Front End - WFE), Nivel de Aplicaciones (Application Servers) y Nivel de Base de Datos relacional basada en Microsoft SQL Server. Sin embargo, en la actualidad, SharePoint Online opera como un servicio SaaS (Software as a Service) globalmente distribuido y multi-inquilino (multi-tenant) sobre la infraestructura de Microsoft Azure, organizado bajo una arquitectura desacoplada orientada a microservicios y servicios en la nube de alta resiliencia.</w:t>
      </w:r>
    </w:p>
    <w:p>
      <w:pPr>
        <w:spacing w:line="480" w:lineRule="auto" w:before="0" w:after="0"/>
        <w:ind w:firstLine="720"/>
        <w:jc w:val="both"/>
      </w:pPr>
      <w:r>
        <w:rPr>
          <w:rFonts w:ascii="Times New Roman" w:hAnsi="Times New Roman"/>
          <w:sz w:val="24"/>
        </w:rPr>
        <w:t>Desde la perspectiva de la ingeniería de software, la arquitectura moderna de SharePoint se divide en cuatro capas funcionales claramente delimitadas:</w:t>
      </w:r>
    </w:p>
    <w:p>
      <w:pPr>
        <w:spacing w:line="480" w:lineRule="auto" w:before="0" w:after="0"/>
        <w:ind w:firstLine="720"/>
        <w:jc w:val="both"/>
      </w:pPr>
      <w:r>
        <w:rPr>
          <w:rFonts w:ascii="Times New Roman" w:hAnsi="Times New Roman"/>
          <w:sz w:val="24"/>
        </w:rPr>
        <w:t>1. Capa de Presentación y Experiencia de Usuario: Basada en el marco de desarrollo extensible SharePoint Framework (SPFx). Esta capa se ejecuta directamente en el cliente (navegador web o dispositivos móviles) utilizando estándares web modernos como HTML5, CSS3/Sass, TypeScript y bibliotecas reactivas como React, con componentes estilizados bajo las directrices de diseño de Microsoft Fluent UI. Esto garantiza interfaces responsivas, accesibles y desacopladas del procesamiento en servidor.</w:t>
      </w:r>
    </w:p>
    <w:p>
      <w:pPr>
        <w:spacing w:line="480" w:lineRule="auto" w:before="0" w:after="0"/>
        <w:ind w:firstLine="720"/>
        <w:jc w:val="both"/>
      </w:pPr>
      <w:r>
        <w:rPr>
          <w:rFonts w:ascii="Times New Roman" w:hAnsi="Times New Roman"/>
          <w:sz w:val="24"/>
        </w:rPr>
        <w:t>2. Capa de Servicios y Lógica de Negocio: Gestiona las operaciones de colaboración, administración de sitios, listas y bibliotecas. Expone una robusta interfaz de programación de aplicaciones basada en REST y OData, complementada con el SDK unificado de Microsoft Graph API (`https://graph.microsoft.com/v1.0/`), lo que permite orquestar entidades corporativas (usuarios, grupos, correos, archivos, canales de Teams y eventos de calendario) mediante un único punto de entrada unificado.</w:t>
      </w:r>
    </w:p>
    <w:p>
      <w:pPr>
        <w:spacing w:line="480" w:lineRule="auto" w:before="0" w:after="0"/>
        <w:ind w:firstLine="720"/>
        <w:jc w:val="both"/>
      </w:pPr>
      <w:r>
        <w:rPr>
          <w:rFonts w:ascii="Times New Roman" w:hAnsi="Times New Roman"/>
          <w:sz w:val="24"/>
        </w:rPr>
        <w:t>3. Capa de Integración y Flujos de Trabajo: Se apoya de forma nativa en la suite de Microsoft Power Platform, destacando Power Automate (antiguo Microsoft Flow) y Azure Logic Apps. Esta capa procesa eventos asíncronos generados por los usuarios (tales como la carga de un archivo, la modificación de un estado de aprobación o la creación de un nuevo registro) y dispara pipelines lógicos que se conectan tanto con servicios internos como con sistemas ERP/CRM externos mediante webhooks.</w:t>
      </w:r>
    </w:p>
    <w:p>
      <w:pPr>
        <w:spacing w:line="480" w:lineRule="auto" w:before="0" w:after="0"/>
        <w:ind w:firstLine="720"/>
        <w:jc w:val="both"/>
      </w:pPr>
      <w:r>
        <w:rPr>
          <w:rFonts w:ascii="Times New Roman" w:hAnsi="Times New Roman"/>
          <w:sz w:val="24"/>
        </w:rPr>
        <w:t>4. Capa de Persistencia y Seguridad: Los metadatos estructurados de las listas y bibliotecas se almacenan en clústeres distribuidos de alta disponibilidad de Azure SQL Database, mientras que los archivos binarios masivos (BLOBs) se derivan a Azure Blob Storage con particionamiento de contenido, deduplicación de bloques y cifrado automático tanto en reposo (AES de 256 bits) como en tránsito (TLS 1.3). La identidad se gestiona enteramente mediante Microsoft Entra ID (anteriormente Azure Active Directory).</w:t>
      </w:r>
    </w:p>
    <w:p>
      <w:pPr>
        <w:spacing w:line="276" w:lineRule="auto" w:before="240" w:after="40"/>
      </w:pPr>
      <w:r>
        <w:rPr>
          <w:rFonts w:ascii="Times New Roman" w:hAnsi="Times New Roman"/>
          <w:b/>
          <w:sz w:val="24"/>
        </w:rPr>
        <w:t>Tabla 1</w:t>
      </w:r>
    </w:p>
    <w:p>
      <w:pPr>
        <w:spacing w:line="276" w:lineRule="auto" w:before="0" w:after="120"/>
      </w:pPr>
      <w:r>
        <w:rPr>
          <w:rFonts w:ascii="Times New Roman" w:hAnsi="Times New Roman"/>
          <w:i/>
          <w:sz w:val="24"/>
        </w:rPr>
        <w:t>Comparativa de Modelos de Despliegue de Microsoft SharePoint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14"/>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Modelo de Despliegue</w:t>
            </w:r>
          </w:p>
        </w:tc>
        <w:tc>
          <w:tcPr>
            <w:tcW w:type="dxa" w:w="1814"/>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Infraestructura</w:t>
            </w:r>
          </w:p>
        </w:tc>
        <w:tc>
          <w:tcPr>
            <w:tcW w:type="dxa" w:w="1984"/>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Control y Mantenimiento</w:t>
            </w:r>
          </w:p>
        </w:tc>
        <w:tc>
          <w:tcPr>
            <w:tcW w:type="dxa" w:w="1814"/>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Escalabilidad</w:t>
            </w:r>
          </w:p>
        </w:tc>
        <w:tc>
          <w:tcPr>
            <w:tcW w:type="dxa" w:w="1984"/>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Casos de Uso Recomendados</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SharePoint Online (Cloud SaaS)</w:t>
            </w:r>
          </w:p>
        </w:tc>
        <w:tc>
          <w:tcPr>
            <w:tcW w:type="dxa" w:w="1814"/>
            <w:tcBorders>
              <w:top w:val="none"/>
              <w:bottom w:val="none"/>
              <w:left w:val="none"/>
              <w:right w:val="none"/>
            </w:tcBorders>
          </w:tcPr>
          <w:p>
            <w:pPr>
              <w:spacing w:before="60" w:after="60" w:line="276" w:lineRule="auto"/>
              <w:jc w:val="left"/>
            </w:pPr>
            <w:r>
              <w:rPr>
                <w:rFonts w:ascii="Times New Roman" w:hAnsi="Times New Roman"/>
                <w:sz w:val="20"/>
              </w:rPr>
              <w:t>Microsoft Azure global (multi-tenant)</w:t>
            </w:r>
          </w:p>
        </w:tc>
        <w:tc>
          <w:tcPr>
            <w:tcW w:type="dxa" w:w="1984"/>
            <w:tcBorders>
              <w:top w:val="none"/>
              <w:bottom w:val="none"/>
              <w:left w:val="none"/>
              <w:right w:val="none"/>
            </w:tcBorders>
          </w:tcPr>
          <w:p>
            <w:pPr>
              <w:spacing w:before="60" w:after="60" w:line="276" w:lineRule="auto"/>
              <w:jc w:val="left"/>
            </w:pPr>
            <w:r>
              <w:rPr>
                <w:rFonts w:ascii="Times New Roman" w:hAnsi="Times New Roman"/>
                <w:sz w:val="20"/>
              </w:rPr>
              <w:t>Gestionado 100% por el proveedor; actualizaciones continuas automáticas.</w:t>
            </w:r>
          </w:p>
        </w:tc>
        <w:tc>
          <w:tcPr>
            <w:tcW w:type="dxa" w:w="1814"/>
            <w:tcBorders>
              <w:top w:val="none"/>
              <w:bottom w:val="none"/>
              <w:left w:val="none"/>
              <w:right w:val="none"/>
            </w:tcBorders>
          </w:tcPr>
          <w:p>
            <w:pPr>
              <w:spacing w:before="60" w:after="60" w:line="276" w:lineRule="auto"/>
              <w:jc w:val="left"/>
            </w:pPr>
            <w:r>
              <w:rPr>
                <w:rFonts w:ascii="Times New Roman" w:hAnsi="Times New Roman"/>
                <w:sz w:val="20"/>
              </w:rPr>
              <w:t>Infinita y transparente bajo demanda; SLA garantizado del 99.9%.</w:t>
            </w:r>
          </w:p>
        </w:tc>
        <w:tc>
          <w:tcPr>
            <w:tcW w:type="dxa" w:w="1984"/>
            <w:tcBorders>
              <w:top w:val="none"/>
              <w:bottom w:val="none"/>
              <w:left w:val="none"/>
              <w:right w:val="none"/>
            </w:tcBorders>
          </w:tcPr>
          <w:p>
            <w:pPr>
              <w:spacing w:before="60" w:after="60" w:line="276" w:lineRule="auto"/>
              <w:jc w:val="left"/>
            </w:pPr>
            <w:r>
              <w:rPr>
                <w:rFonts w:ascii="Times New Roman" w:hAnsi="Times New Roman"/>
                <w:sz w:val="20"/>
              </w:rPr>
              <w:t>Organizaciones modernas que buscan agilidad, movilidad y cero mantenimiento físico.</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SharePoint Server (On-Premises)</w:t>
            </w:r>
          </w:p>
        </w:tc>
        <w:tc>
          <w:tcPr>
            <w:tcW w:type="dxa" w:w="1814"/>
            <w:tcBorders>
              <w:top w:val="none"/>
              <w:bottom w:val="none"/>
              <w:left w:val="none"/>
              <w:right w:val="none"/>
            </w:tcBorders>
          </w:tcPr>
          <w:p>
            <w:pPr>
              <w:spacing w:before="60" w:after="60" w:line="276" w:lineRule="auto"/>
              <w:jc w:val="left"/>
            </w:pPr>
            <w:r>
              <w:rPr>
                <w:rFonts w:ascii="Times New Roman" w:hAnsi="Times New Roman"/>
                <w:sz w:val="20"/>
              </w:rPr>
              <w:t>Servidores locales propios o centros de datos privados.</w:t>
            </w:r>
          </w:p>
        </w:tc>
        <w:tc>
          <w:tcPr>
            <w:tcW w:type="dxa" w:w="1984"/>
            <w:tcBorders>
              <w:top w:val="none"/>
              <w:bottom w:val="none"/>
              <w:left w:val="none"/>
              <w:right w:val="none"/>
            </w:tcBorders>
          </w:tcPr>
          <w:p>
            <w:pPr>
              <w:spacing w:before="60" w:after="60" w:line="276" w:lineRule="auto"/>
              <w:jc w:val="left"/>
            </w:pPr>
            <w:r>
              <w:rPr>
                <w:rFonts w:ascii="Times New Roman" w:hAnsi="Times New Roman"/>
                <w:sz w:val="20"/>
              </w:rPr>
              <w:t>Control total por el departamento de TI local; parches y respaldos manuales.</w:t>
            </w:r>
          </w:p>
        </w:tc>
        <w:tc>
          <w:tcPr>
            <w:tcW w:type="dxa" w:w="1814"/>
            <w:tcBorders>
              <w:top w:val="none"/>
              <w:bottom w:val="none"/>
              <w:left w:val="none"/>
              <w:right w:val="none"/>
            </w:tcBorders>
          </w:tcPr>
          <w:p>
            <w:pPr>
              <w:spacing w:before="60" w:after="60" w:line="276" w:lineRule="auto"/>
              <w:jc w:val="left"/>
            </w:pPr>
            <w:r>
              <w:rPr>
                <w:rFonts w:ascii="Times New Roman" w:hAnsi="Times New Roman"/>
                <w:sz w:val="20"/>
              </w:rPr>
              <w:t>Limitada a la capacidad de hardware y almacenamiento físico aprovisionado.</w:t>
            </w:r>
          </w:p>
        </w:tc>
        <w:tc>
          <w:tcPr>
            <w:tcW w:type="dxa" w:w="1984"/>
            <w:tcBorders>
              <w:top w:val="none"/>
              <w:bottom w:val="none"/>
              <w:left w:val="none"/>
              <w:right w:val="none"/>
            </w:tcBorders>
          </w:tcPr>
          <w:p>
            <w:pPr>
              <w:spacing w:before="60" w:after="60" w:line="276" w:lineRule="auto"/>
              <w:jc w:val="left"/>
            </w:pPr>
            <w:r>
              <w:rPr>
                <w:rFonts w:ascii="Times New Roman" w:hAnsi="Times New Roman"/>
                <w:sz w:val="20"/>
              </w:rPr>
              <w:t>Gobierno, sector militar o industrias con estricta soberanía de datos.</w:t>
            </w:r>
          </w:p>
        </w:tc>
      </w:tr>
      <w:tr>
        <w:tc>
          <w:tcPr>
            <w:tcW w:type="dxa" w:w="1814"/>
            <w:tcBorders>
              <w:top w:val="none"/>
              <w:bottom w:val="single" w:sz="8" w:space="0" w:color="000000"/>
              <w:left w:val="none"/>
              <w:right w:val="none"/>
            </w:tcBorders>
          </w:tcPr>
          <w:p>
            <w:pPr>
              <w:spacing w:before="60" w:after="60" w:line="276" w:lineRule="auto"/>
              <w:jc w:val="left"/>
            </w:pPr>
            <w:r>
              <w:rPr>
                <w:rFonts w:ascii="Times New Roman" w:hAnsi="Times New Roman"/>
                <w:sz w:val="20"/>
              </w:rPr>
              <w:t>Híbrido (Hybrid Federation)</w:t>
            </w:r>
          </w:p>
        </w:tc>
        <w:tc>
          <w:tcPr>
            <w:tcW w:type="dxa" w:w="1814"/>
            <w:tcBorders>
              <w:top w:val="none"/>
              <w:bottom w:val="single" w:sz="8" w:space="0" w:color="000000"/>
              <w:left w:val="none"/>
              <w:right w:val="none"/>
            </w:tcBorders>
          </w:tcPr>
          <w:p>
            <w:pPr>
              <w:spacing w:before="60" w:after="60" w:line="276" w:lineRule="auto"/>
              <w:jc w:val="left"/>
            </w:pPr>
            <w:r>
              <w:rPr>
                <w:rFonts w:ascii="Times New Roman" w:hAnsi="Times New Roman"/>
                <w:sz w:val="20"/>
              </w:rPr>
              <w:t>Combinación de infraestructura local y Microsoft 365.</w:t>
            </w:r>
          </w:p>
        </w:tc>
        <w:tc>
          <w:tcPr>
            <w:tcW w:type="dxa" w:w="1984"/>
            <w:tcBorders>
              <w:top w:val="none"/>
              <w:bottom w:val="single" w:sz="8" w:space="0" w:color="000000"/>
              <w:left w:val="none"/>
              <w:right w:val="none"/>
            </w:tcBorders>
          </w:tcPr>
          <w:p>
            <w:pPr>
              <w:spacing w:before="60" w:after="60" w:line="276" w:lineRule="auto"/>
              <w:jc w:val="left"/>
            </w:pPr>
            <w:r>
              <w:rPr>
                <w:rFonts w:ascii="Times New Roman" w:hAnsi="Times New Roman"/>
                <w:sz w:val="20"/>
              </w:rPr>
              <w:t>Gestión compartida; sincronización de identidades y búsqueda federada unificada.</w:t>
            </w:r>
          </w:p>
        </w:tc>
        <w:tc>
          <w:tcPr>
            <w:tcW w:type="dxa" w:w="1814"/>
            <w:tcBorders>
              <w:top w:val="none"/>
              <w:bottom w:val="single" w:sz="8" w:space="0" w:color="000000"/>
              <w:left w:val="none"/>
              <w:right w:val="none"/>
            </w:tcBorders>
          </w:tcPr>
          <w:p>
            <w:pPr>
              <w:spacing w:before="60" w:after="60" w:line="276" w:lineRule="auto"/>
              <w:jc w:val="left"/>
            </w:pPr>
            <w:r>
              <w:rPr>
                <w:rFonts w:ascii="Times New Roman" w:hAnsi="Times New Roman"/>
                <w:sz w:val="20"/>
              </w:rPr>
              <w:t>Alta flexibilidad para migración paulatina de cargas de trabajo críticas.</w:t>
            </w:r>
          </w:p>
        </w:tc>
        <w:tc>
          <w:tcPr>
            <w:tcW w:type="dxa" w:w="1984"/>
            <w:tcBorders>
              <w:top w:val="none"/>
              <w:bottom w:val="single" w:sz="8" w:space="0" w:color="000000"/>
              <w:left w:val="none"/>
              <w:right w:val="none"/>
            </w:tcBorders>
          </w:tcPr>
          <w:p>
            <w:pPr>
              <w:spacing w:before="60" w:after="60" w:line="276" w:lineRule="auto"/>
              <w:jc w:val="left"/>
            </w:pPr>
            <w:r>
              <w:rPr>
                <w:rFonts w:ascii="Times New Roman" w:hAnsi="Times New Roman"/>
                <w:sz w:val="20"/>
              </w:rPr>
              <w:t>Grandes corporaciones en transición tecnológica gradual hacia la nube.</w:t>
            </w:r>
          </w:p>
        </w:tc>
      </w:tr>
    </w:tbl>
    <w:p>
      <w:pPr>
        <w:spacing w:line="276" w:lineRule="auto" w:before="80" w:after="240"/>
      </w:pPr>
      <w:r>
        <w:rPr>
          <w:rFonts w:ascii="Times New Roman" w:hAnsi="Times New Roman"/>
          <w:i/>
          <w:sz w:val="20"/>
        </w:rPr>
        <w:t xml:space="preserve">Nota. </w:t>
      </w:r>
      <w:r>
        <w:rPr>
          <w:rFonts w:ascii="Times New Roman" w:hAnsi="Times New Roman"/>
          <w:sz w:val="20"/>
        </w:rPr>
        <w:t>Elaboración propia a partir de la documentación de arquitectura oficial de Microsoft (2024).</w:t>
      </w:r>
    </w:p>
    <w:p>
      <w:pPr>
        <w:spacing w:line="480" w:lineRule="auto" w:before="240" w:after="80"/>
        <w:jc w:val="left"/>
      </w:pPr>
      <w:r>
        <w:rPr>
          <w:rFonts w:ascii="Times New Roman" w:hAnsi="Times New Roman"/>
          <w:b/>
          <w:sz w:val="24"/>
        </w:rPr>
        <w:t>3. Módulos y Capacidades Principales</w:t>
      </w:r>
    </w:p>
    <w:p>
      <w:pPr>
        <w:spacing w:line="480" w:lineRule="auto" w:before="0" w:after="0"/>
        <w:ind w:firstLine="720"/>
        <w:jc w:val="both"/>
      </w:pPr>
      <w:r>
        <w:rPr>
          <w:rFonts w:ascii="Times New Roman" w:hAnsi="Times New Roman"/>
          <w:sz w:val="24"/>
        </w:rPr>
        <w:t>Microsoft SharePoint se distingue en el panorama corporativo por integrar en una única solución un conjunto armónico de capacidades funcionales orientadas a transformar la productividad y la gobernanza de la información:</w:t>
      </w:r>
    </w:p>
    <w:p>
      <w:pPr>
        <w:spacing w:line="480" w:lineRule="auto" w:before="120" w:after="40"/>
        <w:jc w:val="left"/>
      </w:pPr>
      <w:r>
        <w:rPr>
          <w:rFonts w:ascii="Times New Roman" w:hAnsi="Times New Roman"/>
          <w:b/>
          <w:i/>
          <w:sz w:val="24"/>
        </w:rPr>
        <w:t>3.1. Gestión Documental Avanzada (Enterprise Content Management - ECM)</w:t>
      </w:r>
    </w:p>
    <w:p>
      <w:pPr>
        <w:spacing w:line="480" w:lineRule="auto" w:before="0" w:after="0"/>
        <w:ind w:firstLine="720"/>
        <w:jc w:val="both"/>
      </w:pPr>
      <w:r>
        <w:rPr>
          <w:rFonts w:ascii="Times New Roman" w:hAnsi="Times New Roman"/>
          <w:sz w:val="24"/>
        </w:rPr>
        <w:t>A diferencia de un simple sistema de archivos compartidos en red (como carpetas SMB/NFS), SharePoint estructura la información mediante Bibliotecas de Documentos enriquecidas con metadatos personalizados, tipos de contenido jerárquicos y taxonomías globales (Managed Metadata Service). Cada documento cuenta con control de versiones semántico (versiones mayores y menores con registro histórico de autores y marcas temporales), capacidades de coautoría simultánea en tiempo real sin bloqueo de archivo mediante Office Online, y políticas de retención, archivado y prevención de fuga de datos (Data Loss Prevention, DLP) gestionadas centralmente desde Microsoft Purview (Sommerville, 2021).</w:t>
      </w:r>
    </w:p>
    <w:p>
      <w:pPr>
        <w:spacing w:line="480" w:lineRule="auto" w:before="120" w:after="40"/>
        <w:jc w:val="left"/>
      </w:pPr>
      <w:r>
        <w:rPr>
          <w:rFonts w:ascii="Times New Roman" w:hAnsi="Times New Roman"/>
          <w:b/>
          <w:i/>
          <w:sz w:val="24"/>
        </w:rPr>
        <w:t>3.2. Intranet Corporativa y Sitios de Comunicación</w:t>
      </w:r>
    </w:p>
    <w:p>
      <w:pPr>
        <w:spacing w:line="480" w:lineRule="auto" w:before="0" w:after="0"/>
        <w:ind w:firstLine="720"/>
        <w:jc w:val="both"/>
      </w:pPr>
      <w:r>
        <w:rPr>
          <w:rFonts w:ascii="Times New Roman" w:hAnsi="Times New Roman"/>
          <w:sz w:val="24"/>
        </w:rPr>
        <w:t>La plataforma ofrece dos tipologías fundamentales de sitios: los Sitios de Equipo (Team Sites), optimizados para la colaboración interna de proyectos y departamentos con conexión directa a grupos de Microsoft 365 y Microsoft Teams; y los Sitios de Comunicación (Communication Sites), concebidos para la difusión unidireccional de noticias corporativas, eventos, políticas institucionales y portales de bienestar laboral. Mediante los Sitios Concentradores (Hub Sites), es posible estructurar topologías jerárquicas que heredan estilos visuales comunes, menús de navegación compartidos y agregación automática de búsquedas entre múltiples departamentos.</w:t>
      </w:r>
    </w:p>
    <w:p>
      <w:pPr>
        <w:spacing w:line="480" w:lineRule="auto" w:before="120" w:after="40"/>
        <w:jc w:val="left"/>
      </w:pPr>
      <w:r>
        <w:rPr>
          <w:rFonts w:ascii="Times New Roman" w:hAnsi="Times New Roman"/>
          <w:b/>
          <w:i/>
          <w:sz w:val="24"/>
        </w:rPr>
        <w:t>3.3. Automatización de Flujos de Trabajo (Business Process Automation)</w:t>
      </w:r>
    </w:p>
    <w:p>
      <w:pPr>
        <w:spacing w:line="480" w:lineRule="auto" w:before="0" w:after="0"/>
        <w:ind w:firstLine="720"/>
        <w:jc w:val="both"/>
      </w:pPr>
      <w:r>
        <w:rPr>
          <w:rFonts w:ascii="Times New Roman" w:hAnsi="Times New Roman"/>
          <w:sz w:val="24"/>
        </w:rPr>
        <w:t>Uno de los mayores diferenciadores radica en la automatización sin código (low-code/no-code) a través de Microsoft Power Automate. Los procesos burocráticos tradicionales (solicitudes de permisos, validaciones presupuestarias, revisiones de contratos, recepciones de insumos o aprobaciones de compras) se convierten en flujos digitales interactivos que notifican a los tomadores de decisiones a través de correos electrónicos con tarjetas adaptativas (Adaptive Cards) o mensajes interactivos en Microsoft Teams, registrando cada hito con auditoría inmutable en las listas de SharePoint.</w:t>
      </w:r>
    </w:p>
    <w:p>
      <w:pPr>
        <w:spacing w:line="480" w:lineRule="auto" w:before="120" w:after="40"/>
        <w:jc w:val="left"/>
      </w:pPr>
      <w:r>
        <w:rPr>
          <w:rFonts w:ascii="Times New Roman" w:hAnsi="Times New Roman"/>
          <w:b/>
          <w:i/>
          <w:sz w:val="24"/>
        </w:rPr>
        <w:t>3.4. Motor de Búsqueda Inteligente y Descubrimiento</w:t>
      </w:r>
    </w:p>
    <w:p>
      <w:pPr>
        <w:spacing w:line="480" w:lineRule="auto" w:before="0" w:after="0"/>
        <w:ind w:firstLine="720"/>
        <w:jc w:val="both"/>
      </w:pPr>
      <w:r>
        <w:rPr>
          <w:rFonts w:ascii="Times New Roman" w:hAnsi="Times New Roman"/>
          <w:sz w:val="24"/>
        </w:rPr>
        <w:t>La tecnología Microsoft Search utiliza aprendizaje automático sobre el grafo de relaciones de la organización (Microsoft Graph). Esto permite al usuario no solo buscar por palabras clave en el título de un archivo, sino realizar indexación profunda de texto dentro de documentos PDF, hojas de cálculo, presentaciones o archivos de texto, personalizando los resultados en función de las interacciones recientes, colaboradores habituales y proyectos activos del usuario, respetando en todo momento sus permisos de lectura.</w:t>
      </w:r>
    </w:p>
    <w:p>
      <w:pPr>
        <w:spacing w:line="480" w:lineRule="auto" w:before="240" w:after="80"/>
        <w:jc w:val="left"/>
      </w:pPr>
      <w:r>
        <w:rPr>
          <w:rFonts w:ascii="Times New Roman" w:hAnsi="Times New Roman"/>
          <w:b/>
          <w:sz w:val="24"/>
        </w:rPr>
        <w:t>4. Seguridad, Gobernanza y Modelo de Permisos</w:t>
      </w:r>
    </w:p>
    <w:p>
      <w:pPr>
        <w:spacing w:line="480" w:lineRule="auto" w:before="0" w:after="0"/>
        <w:ind w:firstLine="720"/>
        <w:jc w:val="both"/>
      </w:pPr>
      <w:r>
        <w:rPr>
          <w:rFonts w:ascii="Times New Roman" w:hAnsi="Times New Roman"/>
          <w:sz w:val="24"/>
        </w:rPr>
        <w:t>La seguridad en un portal corporativo constituye un elemento no negociable. SharePoint implementa un modelo de Control de Acceso Basado en Roles (RBAC) granular y heredable, respaldado por la infraestructura de seguridad de Microsoft Entra ID. Por defecto, la seguridad se organiza en tres grupos primarios por sitio: Propietarios (Control Total), Miembros (Permisos de Escritura y Edición) y Visitantes (Permisos de Solo Lectura). No obstante, es posible crear niveles de permisos personalizados con privilegios atómicos y romper la herencia de permisos a nivel de subsitio, biblioteca, carpeta o incluso documento individual (Stallings, 2023).</w:t>
      </w:r>
    </w:p>
    <w:p>
      <w:pPr>
        <w:spacing w:line="480" w:lineRule="auto" w:before="0" w:after="0"/>
        <w:ind w:firstLine="720"/>
        <w:jc w:val="both"/>
      </w:pPr>
      <w:r>
        <w:rPr>
          <w:rFonts w:ascii="Times New Roman" w:hAnsi="Times New Roman"/>
          <w:sz w:val="24"/>
        </w:rPr>
        <w:t>Entre los mecanismos de gobernanza más relevantes destacan las Políticas de Acceso Condicional (Conditional Access), que restringen o condicionan el acceso al portal según la ubicación IP del usuario, el cumplimiento del dispositivo (intact status), la autenticación multifactor (MFA) o el nivel de riesgo de la sesión. Adicionalmente, el cifrado extremo a extremo, las etiquetas de sensibilidad criptográfica y los registros de auditoría de cumplimiento garantizan la adhesión a normativas internacionales como ISO/IEC 27001, GDPR y SOC 2 Type II.</w:t>
      </w:r>
    </w:p>
    <w:p>
      <w:pPr>
        <w:spacing w:line="276" w:lineRule="auto" w:before="240" w:after="40"/>
      </w:pPr>
      <w:r>
        <w:rPr>
          <w:rFonts w:ascii="Times New Roman" w:hAnsi="Times New Roman"/>
          <w:b/>
          <w:sz w:val="24"/>
        </w:rPr>
        <w:t>Tabla 2</w:t>
      </w:r>
    </w:p>
    <w:p>
      <w:pPr>
        <w:spacing w:line="276" w:lineRule="auto" w:before="0" w:after="120"/>
      </w:pPr>
      <w:r>
        <w:rPr>
          <w:rFonts w:ascii="Times New Roman" w:hAnsi="Times New Roman"/>
          <w:i/>
          <w:sz w:val="24"/>
        </w:rPr>
        <w:t>Matriz de Roles, Alcance y Permisos en Microsoft SharePoint</w:t>
      </w:r>
    </w:p>
    <w:tbl>
      <w:tblPr>
        <w:tblW w:type="auto" w:w="0"/>
        <w:jc w:val="center"/>
        <w:tblLook w:firstColumn="1" w:firstRow="1" w:lastColumn="0" w:lastRow="0" w:noHBand="0" w:noVBand="1" w:val="04A0"/>
      </w:tblPr>
      <w:tblGrid>
        <w:gridCol w:w="2340"/>
        <w:gridCol w:w="2340"/>
        <w:gridCol w:w="2340"/>
        <w:gridCol w:w="2340"/>
      </w:tblGrid>
      <w:tr>
        <w:tc>
          <w:tcPr>
            <w:tcW w:type="dxa" w:w="1984"/>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Nivel de Rol en Portal</w:t>
            </w:r>
          </w:p>
        </w:tc>
        <w:tc>
          <w:tcPr>
            <w:tcW w:type="dxa" w:w="2268"/>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Alcance Operativo</w:t>
            </w:r>
          </w:p>
        </w:tc>
        <w:tc>
          <w:tcPr>
            <w:tcW w:type="dxa" w:w="3118"/>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Acciones Autorizadas</w:t>
            </w:r>
          </w:p>
        </w:tc>
        <w:tc>
          <w:tcPr>
            <w:tcW w:type="dxa" w:w="1984"/>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Grupo Típico Asociado</w:t>
            </w:r>
          </w:p>
        </w:tc>
      </w:tr>
      <w:tr>
        <w:tc>
          <w:tcPr>
            <w:tcW w:type="dxa" w:w="1984"/>
            <w:tcBorders>
              <w:top w:val="none"/>
              <w:bottom w:val="none"/>
              <w:left w:val="none"/>
              <w:right w:val="none"/>
            </w:tcBorders>
          </w:tcPr>
          <w:p>
            <w:pPr>
              <w:spacing w:before="60" w:after="60" w:line="276" w:lineRule="auto"/>
              <w:jc w:val="left"/>
            </w:pPr>
            <w:r>
              <w:rPr>
                <w:rFonts w:ascii="Times New Roman" w:hAnsi="Times New Roman"/>
                <w:sz w:val="20"/>
              </w:rPr>
              <w:t>Propietario del Sitio (Admin)</w:t>
            </w:r>
          </w:p>
        </w:tc>
        <w:tc>
          <w:tcPr>
            <w:tcW w:type="dxa" w:w="2268"/>
            <w:tcBorders>
              <w:top w:val="none"/>
              <w:bottom w:val="none"/>
              <w:left w:val="none"/>
              <w:right w:val="none"/>
            </w:tcBorders>
          </w:tcPr>
          <w:p>
            <w:pPr>
              <w:spacing w:before="60" w:after="60" w:line="276" w:lineRule="auto"/>
              <w:jc w:val="left"/>
            </w:pPr>
            <w:r>
              <w:rPr>
                <w:rFonts w:ascii="Times New Roman" w:hAnsi="Times New Roman"/>
                <w:sz w:val="20"/>
              </w:rPr>
              <w:t>Administración completa del sitio o colección de sitios.</w:t>
            </w:r>
          </w:p>
        </w:tc>
        <w:tc>
          <w:tcPr>
            <w:tcW w:type="dxa" w:w="3118"/>
            <w:tcBorders>
              <w:top w:val="none"/>
              <w:bottom w:val="none"/>
              <w:left w:val="none"/>
              <w:right w:val="none"/>
            </w:tcBorders>
          </w:tcPr>
          <w:p>
            <w:pPr>
              <w:spacing w:before="60" w:after="60" w:line="276" w:lineRule="auto"/>
              <w:jc w:val="left"/>
            </w:pPr>
            <w:r>
              <w:rPr>
                <w:rFonts w:ascii="Times New Roman" w:hAnsi="Times New Roman"/>
                <w:sz w:val="20"/>
              </w:rPr>
              <w:t>Configurar permisos, modificar estructura, habilitar flujos y administrar metadatos.</w:t>
            </w:r>
          </w:p>
        </w:tc>
        <w:tc>
          <w:tcPr>
            <w:tcW w:type="dxa" w:w="1984"/>
            <w:tcBorders>
              <w:top w:val="none"/>
              <w:bottom w:val="none"/>
              <w:left w:val="none"/>
              <w:right w:val="none"/>
            </w:tcBorders>
          </w:tcPr>
          <w:p>
            <w:pPr>
              <w:spacing w:before="60" w:after="60" w:line="276" w:lineRule="auto"/>
              <w:jc w:val="left"/>
            </w:pPr>
            <w:r>
              <w:rPr>
                <w:rFonts w:ascii="Times New Roman" w:hAnsi="Times New Roman"/>
                <w:sz w:val="20"/>
              </w:rPr>
              <w:t>Jefes de Departamento / Administradores de TI.</w:t>
            </w:r>
          </w:p>
        </w:tc>
      </w:tr>
      <w:tr>
        <w:tc>
          <w:tcPr>
            <w:tcW w:type="dxa" w:w="1984"/>
            <w:tcBorders>
              <w:top w:val="none"/>
              <w:bottom w:val="none"/>
              <w:left w:val="none"/>
              <w:right w:val="none"/>
            </w:tcBorders>
          </w:tcPr>
          <w:p>
            <w:pPr>
              <w:spacing w:before="60" w:after="60" w:line="276" w:lineRule="auto"/>
              <w:jc w:val="left"/>
            </w:pPr>
            <w:r>
              <w:rPr>
                <w:rFonts w:ascii="Times New Roman" w:hAnsi="Times New Roman"/>
                <w:sz w:val="20"/>
              </w:rPr>
              <w:t>Miembro (Colaborador)</w:t>
            </w:r>
          </w:p>
        </w:tc>
        <w:tc>
          <w:tcPr>
            <w:tcW w:type="dxa" w:w="2268"/>
            <w:tcBorders>
              <w:top w:val="none"/>
              <w:bottom w:val="none"/>
              <w:left w:val="none"/>
              <w:right w:val="none"/>
            </w:tcBorders>
          </w:tcPr>
          <w:p>
            <w:pPr>
              <w:spacing w:before="60" w:after="60" w:line="276" w:lineRule="auto"/>
              <w:jc w:val="left"/>
            </w:pPr>
            <w:r>
              <w:rPr>
                <w:rFonts w:ascii="Times New Roman" w:hAnsi="Times New Roman"/>
                <w:sz w:val="20"/>
              </w:rPr>
              <w:t>Participación activa en el ciclo documental y operativo.</w:t>
            </w:r>
          </w:p>
        </w:tc>
        <w:tc>
          <w:tcPr>
            <w:tcW w:type="dxa" w:w="3118"/>
            <w:tcBorders>
              <w:top w:val="none"/>
              <w:bottom w:val="none"/>
              <w:left w:val="none"/>
              <w:right w:val="none"/>
            </w:tcBorders>
          </w:tcPr>
          <w:p>
            <w:pPr>
              <w:spacing w:before="60" w:after="60" w:line="276" w:lineRule="auto"/>
              <w:jc w:val="left"/>
            </w:pPr>
            <w:r>
              <w:rPr>
                <w:rFonts w:ascii="Times New Roman" w:hAnsi="Times New Roman"/>
                <w:sz w:val="20"/>
              </w:rPr>
              <w:t>Crear, editar, eliminar y compartir documentos y elementos de listas.</w:t>
            </w:r>
          </w:p>
        </w:tc>
        <w:tc>
          <w:tcPr>
            <w:tcW w:type="dxa" w:w="1984"/>
            <w:tcBorders>
              <w:top w:val="none"/>
              <w:bottom w:val="none"/>
              <w:left w:val="none"/>
              <w:right w:val="none"/>
            </w:tcBorders>
          </w:tcPr>
          <w:p>
            <w:pPr>
              <w:spacing w:before="60" w:after="60" w:line="276" w:lineRule="auto"/>
              <w:jc w:val="left"/>
            </w:pPr>
            <w:r>
              <w:rPr>
                <w:rFonts w:ascii="Times New Roman" w:hAnsi="Times New Roman"/>
                <w:sz w:val="20"/>
              </w:rPr>
              <w:t>Analistas, especialistas y personal operativo del área.</w:t>
            </w:r>
          </w:p>
        </w:tc>
      </w:tr>
      <w:tr>
        <w:tc>
          <w:tcPr>
            <w:tcW w:type="dxa" w:w="1984"/>
            <w:tcBorders>
              <w:top w:val="none"/>
              <w:bottom w:val="none"/>
              <w:left w:val="none"/>
              <w:right w:val="none"/>
            </w:tcBorders>
          </w:tcPr>
          <w:p>
            <w:pPr>
              <w:spacing w:before="60" w:after="60" w:line="276" w:lineRule="auto"/>
              <w:jc w:val="left"/>
            </w:pPr>
            <w:r>
              <w:rPr>
                <w:rFonts w:ascii="Times New Roman" w:hAnsi="Times New Roman"/>
                <w:sz w:val="20"/>
              </w:rPr>
              <w:t>Visitante (Lector)</w:t>
            </w:r>
          </w:p>
        </w:tc>
        <w:tc>
          <w:tcPr>
            <w:tcW w:type="dxa" w:w="2268"/>
            <w:tcBorders>
              <w:top w:val="none"/>
              <w:bottom w:val="none"/>
              <w:left w:val="none"/>
              <w:right w:val="none"/>
            </w:tcBorders>
          </w:tcPr>
          <w:p>
            <w:pPr>
              <w:spacing w:before="60" w:after="60" w:line="276" w:lineRule="auto"/>
              <w:jc w:val="left"/>
            </w:pPr>
            <w:r>
              <w:rPr>
                <w:rFonts w:ascii="Times New Roman" w:hAnsi="Times New Roman"/>
                <w:sz w:val="20"/>
              </w:rPr>
              <w:t>Consulta de información institucional y normativas.</w:t>
            </w:r>
          </w:p>
        </w:tc>
        <w:tc>
          <w:tcPr>
            <w:tcW w:type="dxa" w:w="3118"/>
            <w:tcBorders>
              <w:top w:val="none"/>
              <w:bottom w:val="none"/>
              <w:left w:val="none"/>
              <w:right w:val="none"/>
            </w:tcBorders>
          </w:tcPr>
          <w:p>
            <w:pPr>
              <w:spacing w:before="60" w:after="60" w:line="276" w:lineRule="auto"/>
              <w:jc w:val="left"/>
            </w:pPr>
            <w:r>
              <w:rPr>
                <w:rFonts w:ascii="Times New Roman" w:hAnsi="Times New Roman"/>
                <w:sz w:val="20"/>
              </w:rPr>
              <w:t>Ver y descargar documentos; navegar por páginas y visualizar noticias sin editar.</w:t>
            </w:r>
          </w:p>
        </w:tc>
        <w:tc>
          <w:tcPr>
            <w:tcW w:type="dxa" w:w="1984"/>
            <w:tcBorders>
              <w:top w:val="none"/>
              <w:bottom w:val="none"/>
              <w:left w:val="none"/>
              <w:right w:val="none"/>
            </w:tcBorders>
          </w:tcPr>
          <w:p>
            <w:pPr>
              <w:spacing w:before="60" w:after="60" w:line="276" w:lineRule="auto"/>
              <w:jc w:val="left"/>
            </w:pPr>
            <w:r>
              <w:rPr>
                <w:rFonts w:ascii="Times New Roman" w:hAnsi="Times New Roman"/>
                <w:sz w:val="20"/>
              </w:rPr>
              <w:t>Personal general de la empresa / Auditores externos.</w:t>
            </w:r>
          </w:p>
        </w:tc>
      </w:tr>
      <w:tr>
        <w:tc>
          <w:tcPr>
            <w:tcW w:type="dxa" w:w="1984"/>
            <w:tcBorders>
              <w:top w:val="none"/>
              <w:bottom w:val="single" w:sz="8" w:space="0" w:color="000000"/>
              <w:left w:val="none"/>
              <w:right w:val="none"/>
            </w:tcBorders>
          </w:tcPr>
          <w:p>
            <w:pPr>
              <w:spacing w:before="60" w:after="60" w:line="276" w:lineRule="auto"/>
              <w:jc w:val="left"/>
            </w:pPr>
            <w:r>
              <w:rPr>
                <w:rFonts w:ascii="Times New Roman" w:hAnsi="Times New Roman"/>
                <w:sz w:val="20"/>
              </w:rPr>
              <w:t>Colaborador Externo (Guest)</w:t>
            </w:r>
          </w:p>
        </w:tc>
        <w:tc>
          <w:tcPr>
            <w:tcW w:type="dxa" w:w="2268"/>
            <w:tcBorders>
              <w:top w:val="none"/>
              <w:bottom w:val="single" w:sz="8" w:space="0" w:color="000000"/>
              <w:left w:val="none"/>
              <w:right w:val="none"/>
            </w:tcBorders>
          </w:tcPr>
          <w:p>
            <w:pPr>
              <w:spacing w:before="60" w:after="60" w:line="276" w:lineRule="auto"/>
              <w:jc w:val="left"/>
            </w:pPr>
            <w:r>
              <w:rPr>
                <w:rFonts w:ascii="Times New Roman" w:hAnsi="Times New Roman"/>
                <w:sz w:val="20"/>
              </w:rPr>
              <w:t>Acceso limitado a bibliotecas o carpetas específicas.</w:t>
            </w:r>
          </w:p>
        </w:tc>
        <w:tc>
          <w:tcPr>
            <w:tcW w:type="dxa" w:w="3118"/>
            <w:tcBorders>
              <w:top w:val="none"/>
              <w:bottom w:val="single" w:sz="8" w:space="0" w:color="000000"/>
              <w:left w:val="none"/>
              <w:right w:val="none"/>
            </w:tcBorders>
          </w:tcPr>
          <w:p>
            <w:pPr>
              <w:spacing w:before="60" w:after="60" w:line="276" w:lineRule="auto"/>
              <w:jc w:val="left"/>
            </w:pPr>
            <w:r>
              <w:rPr>
                <w:rFonts w:ascii="Times New Roman" w:hAnsi="Times New Roman"/>
                <w:sz w:val="20"/>
              </w:rPr>
              <w:t>Edición o lectura restringida con caducidad temporal y autenticación MFA.</w:t>
            </w:r>
          </w:p>
        </w:tc>
        <w:tc>
          <w:tcPr>
            <w:tcW w:type="dxa" w:w="1984"/>
            <w:tcBorders>
              <w:top w:val="none"/>
              <w:bottom w:val="single" w:sz="8" w:space="0" w:color="000000"/>
              <w:left w:val="none"/>
              <w:right w:val="none"/>
            </w:tcBorders>
          </w:tcPr>
          <w:p>
            <w:pPr>
              <w:spacing w:before="60" w:after="60" w:line="276" w:lineRule="auto"/>
              <w:jc w:val="left"/>
            </w:pPr>
            <w:r>
              <w:rPr>
                <w:rFonts w:ascii="Times New Roman" w:hAnsi="Times New Roman"/>
                <w:sz w:val="20"/>
              </w:rPr>
              <w:t>Proveedores, consultores y aliados estratégicos.</w:t>
            </w:r>
          </w:p>
        </w:tc>
      </w:tr>
    </w:tbl>
    <w:p>
      <w:pPr>
        <w:spacing w:line="276" w:lineRule="auto" w:before="80" w:after="240"/>
      </w:pPr>
      <w:r>
        <w:rPr>
          <w:rFonts w:ascii="Times New Roman" w:hAnsi="Times New Roman"/>
          <w:i/>
          <w:sz w:val="20"/>
        </w:rPr>
        <w:t xml:space="preserve">Nota. </w:t>
      </w:r>
      <w:r>
        <w:rPr>
          <w:rFonts w:ascii="Times New Roman" w:hAnsi="Times New Roman"/>
          <w:sz w:val="20"/>
        </w:rPr>
        <w:t>Elaboración propia a partir del modelo de seguridad RBAC de Microsoft 365.</w:t>
      </w:r>
    </w:p>
    <w:p>
      <w:pPr>
        <w:spacing w:line="480" w:lineRule="auto" w:before="240" w:after="80"/>
        <w:jc w:val="left"/>
      </w:pPr>
      <w:r>
        <w:rPr>
          <w:rFonts w:ascii="Times New Roman" w:hAnsi="Times New Roman"/>
          <w:b/>
          <w:sz w:val="24"/>
        </w:rPr>
        <w:t>5. Comparativa Técnica: SharePoint vs. SAP Fiori vs. Oracle WebCenter</w:t>
      </w:r>
    </w:p>
    <w:p>
      <w:pPr>
        <w:spacing w:line="480" w:lineRule="auto" w:before="0" w:after="0"/>
        <w:ind w:firstLine="720"/>
        <w:jc w:val="both"/>
      </w:pPr>
      <w:r>
        <w:rPr>
          <w:rFonts w:ascii="Times New Roman" w:hAnsi="Times New Roman"/>
          <w:sz w:val="24"/>
        </w:rPr>
        <w:t>Para contextualizar adecuadamente la posición de Microsoft SharePoint en el mercado de software empresarial, es fundamental contrastarlo con otras soluciones de renombre que atienden nichos estratégicos divergentes: SAP Fiori (diseñado específicamente como la interfaz de usuario y portal unificado para el ecosistema SAP ERP/S4HANA) y Oracle WebCenter (la plataforma tradicional de experiencia digital y portal compuesto de Oracle Corporation).</w:t>
      </w:r>
    </w:p>
    <w:p>
      <w:pPr>
        <w:spacing w:line="276" w:lineRule="auto" w:before="240" w:after="40"/>
      </w:pPr>
      <w:r>
        <w:rPr>
          <w:rFonts w:ascii="Times New Roman" w:hAnsi="Times New Roman"/>
          <w:b/>
          <w:sz w:val="24"/>
        </w:rPr>
        <w:t>Tabla 3</w:t>
      </w:r>
    </w:p>
    <w:p>
      <w:pPr>
        <w:spacing w:line="276" w:lineRule="auto" w:before="0" w:after="120"/>
      </w:pPr>
      <w:r>
        <w:rPr>
          <w:rFonts w:ascii="Times New Roman" w:hAnsi="Times New Roman"/>
          <w:i/>
          <w:sz w:val="24"/>
        </w:rPr>
        <w:t>Matriz Comparativa Técnica entre Microsoft SharePoint, SAP Fiori y Oracle WebCenter</w:t>
      </w:r>
    </w:p>
    <w:tbl>
      <w:tblPr>
        <w:tblW w:type="auto" w:w="0"/>
        <w:jc w:val="center"/>
        <w:tblLook w:firstColumn="1" w:firstRow="1" w:lastColumn="0" w:lastRow="0" w:noHBand="0" w:noVBand="1" w:val="04A0"/>
      </w:tblPr>
      <w:tblGrid>
        <w:gridCol w:w="2340"/>
        <w:gridCol w:w="2340"/>
        <w:gridCol w:w="2340"/>
        <w:gridCol w:w="2340"/>
      </w:tblGrid>
      <w:tr>
        <w:tc>
          <w:tcPr>
            <w:tcW w:type="dxa" w:w="1814"/>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Criterio de Evaluación</w:t>
            </w:r>
          </w:p>
        </w:tc>
        <w:tc>
          <w:tcPr>
            <w:tcW w:type="dxa" w:w="2494"/>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Microsoft SharePoint</w:t>
            </w:r>
          </w:p>
        </w:tc>
        <w:tc>
          <w:tcPr>
            <w:tcW w:type="dxa" w:w="2551"/>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SAP Fiori / Build Work Zone</w:t>
            </w:r>
          </w:p>
        </w:tc>
        <w:tc>
          <w:tcPr>
            <w:tcW w:type="dxa" w:w="2551"/>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Oracle WebCenter</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Propósito Principal</w:t>
            </w:r>
          </w:p>
        </w:tc>
        <w:tc>
          <w:tcPr>
            <w:tcW w:type="dxa" w:w="2494"/>
            <w:tcBorders>
              <w:top w:val="none"/>
              <w:bottom w:val="none"/>
              <w:left w:val="none"/>
              <w:right w:val="none"/>
            </w:tcBorders>
          </w:tcPr>
          <w:p>
            <w:pPr>
              <w:spacing w:before="60" w:after="60" w:line="276" w:lineRule="auto"/>
              <w:jc w:val="left"/>
            </w:pPr>
            <w:r>
              <w:rPr>
                <w:rFonts w:ascii="Times New Roman" w:hAnsi="Times New Roman"/>
                <w:sz w:val="20"/>
              </w:rPr>
              <w:t>Colaboración corporativa, gestión documental avanzada (ECM) e intranet.</w:t>
            </w:r>
          </w:p>
        </w:tc>
        <w:tc>
          <w:tcPr>
            <w:tcW w:type="dxa" w:w="2551"/>
            <w:tcBorders>
              <w:top w:val="none"/>
              <w:bottom w:val="none"/>
              <w:left w:val="none"/>
              <w:right w:val="none"/>
            </w:tcBorders>
          </w:tcPr>
          <w:p>
            <w:pPr>
              <w:spacing w:before="60" w:after="60" w:line="276" w:lineRule="auto"/>
              <w:jc w:val="left"/>
            </w:pPr>
            <w:r>
              <w:rPr>
                <w:rFonts w:ascii="Times New Roman" w:hAnsi="Times New Roman"/>
                <w:sz w:val="20"/>
              </w:rPr>
              <w:t>Portal transaccional de autoservicio y frontend de procesos de negocio ERP.</w:t>
            </w:r>
          </w:p>
        </w:tc>
        <w:tc>
          <w:tcPr>
            <w:tcW w:type="dxa" w:w="2551"/>
            <w:tcBorders>
              <w:top w:val="none"/>
              <w:bottom w:val="none"/>
              <w:left w:val="none"/>
              <w:right w:val="none"/>
            </w:tcBorders>
          </w:tcPr>
          <w:p>
            <w:pPr>
              <w:spacing w:before="60" w:after="60" w:line="276" w:lineRule="auto"/>
              <w:jc w:val="left"/>
            </w:pPr>
            <w:r>
              <w:rPr>
                <w:rFonts w:ascii="Times New Roman" w:hAnsi="Times New Roman"/>
                <w:sz w:val="20"/>
              </w:rPr>
              <w:t>Portal compuesto corporativo, integración de aplicaciones legadas y CMS.</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Arquitectura Frontend</w:t>
            </w:r>
          </w:p>
        </w:tc>
        <w:tc>
          <w:tcPr>
            <w:tcW w:type="dxa" w:w="2494"/>
            <w:tcBorders>
              <w:top w:val="none"/>
              <w:bottom w:val="none"/>
              <w:left w:val="none"/>
              <w:right w:val="none"/>
            </w:tcBorders>
          </w:tcPr>
          <w:p>
            <w:pPr>
              <w:spacing w:before="60" w:after="60" w:line="276" w:lineRule="auto"/>
              <w:jc w:val="left"/>
            </w:pPr>
            <w:r>
              <w:rPr>
                <w:rFonts w:ascii="Times New Roman" w:hAnsi="Times New Roman"/>
                <w:sz w:val="20"/>
              </w:rPr>
              <w:t>SPFx (React, TypeScript, Fluent UI, HTML5) altamente desacoplado.</w:t>
            </w:r>
          </w:p>
        </w:tc>
        <w:tc>
          <w:tcPr>
            <w:tcW w:type="dxa" w:w="2551"/>
            <w:tcBorders>
              <w:top w:val="none"/>
              <w:bottom w:val="none"/>
              <w:left w:val="none"/>
              <w:right w:val="none"/>
            </w:tcBorders>
          </w:tcPr>
          <w:p>
            <w:pPr>
              <w:spacing w:before="60" w:after="60" w:line="276" w:lineRule="auto"/>
              <w:jc w:val="left"/>
            </w:pPr>
            <w:r>
              <w:rPr>
                <w:rFonts w:ascii="Times New Roman" w:hAnsi="Times New Roman"/>
                <w:sz w:val="20"/>
              </w:rPr>
              <w:t>SAPUI5 (JavaScript/XML), OpenUI5 y directrices de diseño Fiori en mosaicos.</w:t>
            </w:r>
          </w:p>
        </w:tc>
        <w:tc>
          <w:tcPr>
            <w:tcW w:type="dxa" w:w="2551"/>
            <w:tcBorders>
              <w:top w:val="none"/>
              <w:bottom w:val="none"/>
              <w:left w:val="none"/>
              <w:right w:val="none"/>
            </w:tcBorders>
          </w:tcPr>
          <w:p>
            <w:pPr>
              <w:spacing w:before="60" w:after="60" w:line="276" w:lineRule="auto"/>
              <w:jc w:val="left"/>
            </w:pPr>
            <w:r>
              <w:rPr>
                <w:rFonts w:ascii="Times New Roman" w:hAnsi="Times New Roman"/>
                <w:sz w:val="20"/>
              </w:rPr>
              <w:t>ADF (Application Development Framework), JSF (JavaServer Faces) y Portlets.</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Integración Empresarial</w:t>
            </w:r>
          </w:p>
        </w:tc>
        <w:tc>
          <w:tcPr>
            <w:tcW w:type="dxa" w:w="2494"/>
            <w:tcBorders>
              <w:top w:val="none"/>
              <w:bottom w:val="none"/>
              <w:left w:val="none"/>
              <w:right w:val="none"/>
            </w:tcBorders>
          </w:tcPr>
          <w:p>
            <w:pPr>
              <w:spacing w:before="60" w:after="60" w:line="276" w:lineRule="auto"/>
              <w:jc w:val="left"/>
            </w:pPr>
            <w:r>
              <w:rPr>
                <w:rFonts w:ascii="Times New Roman" w:hAnsi="Times New Roman"/>
                <w:sz w:val="20"/>
              </w:rPr>
              <w:t>Nativa con Microsoft 365, Teams, Power Platform y APIs REST / Graph.</w:t>
            </w:r>
          </w:p>
        </w:tc>
        <w:tc>
          <w:tcPr>
            <w:tcW w:type="dxa" w:w="2551"/>
            <w:tcBorders>
              <w:top w:val="none"/>
              <w:bottom w:val="none"/>
              <w:left w:val="none"/>
              <w:right w:val="none"/>
            </w:tcBorders>
          </w:tcPr>
          <w:p>
            <w:pPr>
              <w:spacing w:before="60" w:after="60" w:line="276" w:lineRule="auto"/>
              <w:jc w:val="left"/>
            </w:pPr>
            <w:r>
              <w:rPr>
                <w:rFonts w:ascii="Times New Roman" w:hAnsi="Times New Roman"/>
                <w:sz w:val="20"/>
              </w:rPr>
              <w:t>Profunda y nativa con SAP S/4HANA, OData Services y SAP BTP.</w:t>
            </w:r>
          </w:p>
        </w:tc>
        <w:tc>
          <w:tcPr>
            <w:tcW w:type="dxa" w:w="2551"/>
            <w:tcBorders>
              <w:top w:val="none"/>
              <w:bottom w:val="none"/>
              <w:left w:val="none"/>
              <w:right w:val="none"/>
            </w:tcBorders>
          </w:tcPr>
          <w:p>
            <w:pPr>
              <w:spacing w:before="60" w:after="60" w:line="276" w:lineRule="auto"/>
              <w:jc w:val="left"/>
            </w:pPr>
            <w:r>
              <w:rPr>
                <w:rFonts w:ascii="Times New Roman" w:hAnsi="Times New Roman"/>
                <w:sz w:val="20"/>
              </w:rPr>
              <w:t>Integración sólida con Oracle Fusion Middleware, SOA Suite y bases de datos Oracle.</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Experiencia de Usuario (UX)</w:t>
            </w:r>
          </w:p>
        </w:tc>
        <w:tc>
          <w:tcPr>
            <w:tcW w:type="dxa" w:w="2494"/>
            <w:tcBorders>
              <w:top w:val="none"/>
              <w:bottom w:val="none"/>
              <w:left w:val="none"/>
              <w:right w:val="none"/>
            </w:tcBorders>
          </w:tcPr>
          <w:p>
            <w:pPr>
              <w:spacing w:before="60" w:after="60" w:line="276" w:lineRule="auto"/>
              <w:jc w:val="left"/>
            </w:pPr>
            <w:r>
              <w:rPr>
                <w:rFonts w:ascii="Times New Roman" w:hAnsi="Times New Roman"/>
                <w:sz w:val="20"/>
              </w:rPr>
              <w:t>Muy intuitiva, similar a herramientas de consumo general; curva baja.</w:t>
            </w:r>
          </w:p>
        </w:tc>
        <w:tc>
          <w:tcPr>
            <w:tcW w:type="dxa" w:w="2551"/>
            <w:tcBorders>
              <w:top w:val="none"/>
              <w:bottom w:val="none"/>
              <w:left w:val="none"/>
              <w:right w:val="none"/>
            </w:tcBorders>
          </w:tcPr>
          <w:p>
            <w:pPr>
              <w:spacing w:before="60" w:after="60" w:line="276" w:lineRule="auto"/>
              <w:jc w:val="left"/>
            </w:pPr>
            <w:r>
              <w:rPr>
                <w:rFonts w:ascii="Times New Roman" w:hAnsi="Times New Roman"/>
                <w:sz w:val="20"/>
              </w:rPr>
              <w:t>Orientada a tareas transaccionales eficientes mediante mosaicos (Tiles).</w:t>
            </w:r>
          </w:p>
        </w:tc>
        <w:tc>
          <w:tcPr>
            <w:tcW w:type="dxa" w:w="2551"/>
            <w:tcBorders>
              <w:top w:val="none"/>
              <w:bottom w:val="none"/>
              <w:left w:val="none"/>
              <w:right w:val="none"/>
            </w:tcBorders>
          </w:tcPr>
          <w:p>
            <w:pPr>
              <w:spacing w:before="60" w:after="60" w:line="276" w:lineRule="auto"/>
              <w:jc w:val="left"/>
            </w:pPr>
            <w:r>
              <w:rPr>
                <w:rFonts w:ascii="Times New Roman" w:hAnsi="Times New Roman"/>
                <w:sz w:val="20"/>
              </w:rPr>
              <w:t>Tradicional y compleja; requiere maquetación y programación especializada.</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Modelo de Despliegue</w:t>
            </w:r>
          </w:p>
        </w:tc>
        <w:tc>
          <w:tcPr>
            <w:tcW w:type="dxa" w:w="2494"/>
            <w:tcBorders>
              <w:top w:val="none"/>
              <w:bottom w:val="none"/>
              <w:left w:val="none"/>
              <w:right w:val="none"/>
            </w:tcBorders>
          </w:tcPr>
          <w:p>
            <w:pPr>
              <w:spacing w:before="60" w:after="60" w:line="276" w:lineRule="auto"/>
              <w:jc w:val="left"/>
            </w:pPr>
            <w:r>
              <w:rPr>
                <w:rFonts w:ascii="Times New Roman" w:hAnsi="Times New Roman"/>
                <w:sz w:val="20"/>
              </w:rPr>
              <w:t>Predominante Cloud SaaS (SharePoint Online); opciones híbridas.</w:t>
            </w:r>
          </w:p>
        </w:tc>
        <w:tc>
          <w:tcPr>
            <w:tcW w:type="dxa" w:w="2551"/>
            <w:tcBorders>
              <w:top w:val="none"/>
              <w:bottom w:val="none"/>
              <w:left w:val="none"/>
              <w:right w:val="none"/>
            </w:tcBorders>
          </w:tcPr>
          <w:p>
            <w:pPr>
              <w:spacing w:before="60" w:after="60" w:line="276" w:lineRule="auto"/>
              <w:jc w:val="left"/>
            </w:pPr>
            <w:r>
              <w:rPr>
                <w:rFonts w:ascii="Times New Roman" w:hAnsi="Times New Roman"/>
                <w:sz w:val="20"/>
              </w:rPr>
              <w:t>Cloud en SAP Business Technology Platform (BTP) y On-Premises con Fiori Front-End.</w:t>
            </w:r>
          </w:p>
        </w:tc>
        <w:tc>
          <w:tcPr>
            <w:tcW w:type="dxa" w:w="2551"/>
            <w:tcBorders>
              <w:top w:val="none"/>
              <w:bottom w:val="none"/>
              <w:left w:val="none"/>
              <w:right w:val="none"/>
            </w:tcBorders>
          </w:tcPr>
          <w:p>
            <w:pPr>
              <w:spacing w:before="60" w:after="60" w:line="276" w:lineRule="auto"/>
              <w:jc w:val="left"/>
            </w:pPr>
            <w:r>
              <w:rPr>
                <w:rFonts w:ascii="Times New Roman" w:hAnsi="Times New Roman"/>
                <w:sz w:val="20"/>
              </w:rPr>
              <w:t>Mayormente On-Premises o infraestructura IaaS/PaaS en Oracle Cloud Infrastructure.</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Gestión Documental</w:t>
            </w:r>
          </w:p>
        </w:tc>
        <w:tc>
          <w:tcPr>
            <w:tcW w:type="dxa" w:w="2494"/>
            <w:tcBorders>
              <w:top w:val="none"/>
              <w:bottom w:val="none"/>
              <w:left w:val="none"/>
              <w:right w:val="none"/>
            </w:tcBorders>
          </w:tcPr>
          <w:p>
            <w:pPr>
              <w:spacing w:before="60" w:after="60" w:line="276" w:lineRule="auto"/>
              <w:jc w:val="left"/>
            </w:pPr>
            <w:r>
              <w:rPr>
                <w:rFonts w:ascii="Times New Roman" w:hAnsi="Times New Roman"/>
                <w:sz w:val="20"/>
              </w:rPr>
              <w:t>Excepcional (clasificada entre las líderes del mercado por Gartner).</w:t>
            </w:r>
          </w:p>
        </w:tc>
        <w:tc>
          <w:tcPr>
            <w:tcW w:type="dxa" w:w="2551"/>
            <w:tcBorders>
              <w:top w:val="none"/>
              <w:bottom w:val="none"/>
              <w:left w:val="none"/>
              <w:right w:val="none"/>
            </w:tcBorders>
          </w:tcPr>
          <w:p>
            <w:pPr>
              <w:spacing w:before="60" w:after="60" w:line="276" w:lineRule="auto"/>
              <w:jc w:val="left"/>
            </w:pPr>
            <w:r>
              <w:rPr>
                <w:rFonts w:ascii="Times New Roman" w:hAnsi="Times New Roman"/>
                <w:sz w:val="20"/>
              </w:rPr>
              <w:t>Básica; orientada a anexos transaccionales a menos que use SAP OpenText.</w:t>
            </w:r>
          </w:p>
        </w:tc>
        <w:tc>
          <w:tcPr>
            <w:tcW w:type="dxa" w:w="2551"/>
            <w:tcBorders>
              <w:top w:val="none"/>
              <w:bottom w:val="none"/>
              <w:left w:val="none"/>
              <w:right w:val="none"/>
            </w:tcBorders>
          </w:tcPr>
          <w:p>
            <w:pPr>
              <w:spacing w:before="60" w:after="60" w:line="276" w:lineRule="auto"/>
              <w:jc w:val="left"/>
            </w:pPr>
            <w:r>
              <w:rPr>
                <w:rFonts w:ascii="Times New Roman" w:hAnsi="Times New Roman"/>
                <w:sz w:val="20"/>
              </w:rPr>
              <w:t>Avanzada mediante Oracle WebCenter Content (antiguo Stellent).</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Costos y Licenciamiento</w:t>
            </w:r>
          </w:p>
        </w:tc>
        <w:tc>
          <w:tcPr>
            <w:tcW w:type="dxa" w:w="2494"/>
            <w:tcBorders>
              <w:top w:val="none"/>
              <w:bottom w:val="none"/>
              <w:left w:val="none"/>
              <w:right w:val="none"/>
            </w:tcBorders>
          </w:tcPr>
          <w:p>
            <w:pPr>
              <w:spacing w:before="60" w:after="60" w:line="276" w:lineRule="auto"/>
              <w:jc w:val="left"/>
            </w:pPr>
            <w:r>
              <w:rPr>
                <w:rFonts w:ascii="Times New Roman" w:hAnsi="Times New Roman"/>
                <w:sz w:val="20"/>
              </w:rPr>
              <w:t>Suscripción mensual por usuario incluida en planes Microsoft 365.</w:t>
            </w:r>
          </w:p>
        </w:tc>
        <w:tc>
          <w:tcPr>
            <w:tcW w:type="dxa" w:w="2551"/>
            <w:tcBorders>
              <w:top w:val="none"/>
              <w:bottom w:val="none"/>
              <w:left w:val="none"/>
              <w:right w:val="none"/>
            </w:tcBorders>
          </w:tcPr>
          <w:p>
            <w:pPr>
              <w:spacing w:before="60" w:after="60" w:line="276" w:lineRule="auto"/>
              <w:jc w:val="left"/>
            </w:pPr>
            <w:r>
              <w:rPr>
                <w:rFonts w:ascii="Times New Roman" w:hAnsi="Times New Roman"/>
                <w:sz w:val="20"/>
              </w:rPr>
              <w:t>Licenciamiento por usuario/núcleo ligado a licencias corporativas SAP ERP.</w:t>
            </w:r>
          </w:p>
        </w:tc>
        <w:tc>
          <w:tcPr>
            <w:tcW w:type="dxa" w:w="2551"/>
            <w:tcBorders>
              <w:top w:val="none"/>
              <w:bottom w:val="none"/>
              <w:left w:val="none"/>
              <w:right w:val="none"/>
            </w:tcBorders>
          </w:tcPr>
          <w:p>
            <w:pPr>
              <w:spacing w:before="60" w:after="60" w:line="276" w:lineRule="auto"/>
              <w:jc w:val="left"/>
            </w:pPr>
            <w:r>
              <w:rPr>
                <w:rFonts w:ascii="Times New Roman" w:hAnsi="Times New Roman"/>
                <w:sz w:val="20"/>
              </w:rPr>
              <w:t>Alto costo de licenciamiento por procesador/servidor más soporte anual.</w:t>
            </w:r>
          </w:p>
        </w:tc>
      </w:tr>
      <w:tr>
        <w:tc>
          <w:tcPr>
            <w:tcW w:type="dxa" w:w="1814"/>
            <w:tcBorders>
              <w:top w:val="none"/>
              <w:bottom w:val="single" w:sz="8" w:space="0" w:color="000000"/>
              <w:left w:val="none"/>
              <w:right w:val="none"/>
            </w:tcBorders>
          </w:tcPr>
          <w:p>
            <w:pPr>
              <w:spacing w:before="60" w:after="60" w:line="276" w:lineRule="auto"/>
              <w:jc w:val="left"/>
            </w:pPr>
            <w:r>
              <w:rPr>
                <w:rFonts w:ascii="Times New Roman" w:hAnsi="Times New Roman"/>
                <w:sz w:val="20"/>
              </w:rPr>
              <w:t>Escalabilidad y Adopción</w:t>
            </w:r>
          </w:p>
        </w:tc>
        <w:tc>
          <w:tcPr>
            <w:tcW w:type="dxa" w:w="2494"/>
            <w:tcBorders>
              <w:top w:val="none"/>
              <w:bottom w:val="single" w:sz="8" w:space="0" w:color="000000"/>
              <w:left w:val="none"/>
              <w:right w:val="none"/>
            </w:tcBorders>
          </w:tcPr>
          <w:p>
            <w:pPr>
              <w:spacing w:before="60" w:after="60" w:line="276" w:lineRule="auto"/>
              <w:jc w:val="left"/>
            </w:pPr>
            <w:r>
              <w:rPr>
                <w:rFonts w:ascii="Times New Roman" w:hAnsi="Times New Roman"/>
                <w:sz w:val="20"/>
              </w:rPr>
              <w:t>Masiva a nivel global en PYMES y grandes corporaciones.</w:t>
            </w:r>
          </w:p>
        </w:tc>
        <w:tc>
          <w:tcPr>
            <w:tcW w:type="dxa" w:w="2551"/>
            <w:tcBorders>
              <w:top w:val="none"/>
              <w:bottom w:val="single" w:sz="8" w:space="0" w:color="000000"/>
              <w:left w:val="none"/>
              <w:right w:val="none"/>
            </w:tcBorders>
          </w:tcPr>
          <w:p>
            <w:pPr>
              <w:spacing w:before="60" w:after="60" w:line="276" w:lineRule="auto"/>
              <w:jc w:val="left"/>
            </w:pPr>
            <w:r>
              <w:rPr>
                <w:rFonts w:ascii="Times New Roman" w:hAnsi="Times New Roman"/>
                <w:sz w:val="20"/>
              </w:rPr>
              <w:t>Excelente en grandes empresas que ya operan la infraestructura de SAP.</w:t>
            </w:r>
          </w:p>
        </w:tc>
        <w:tc>
          <w:tcPr>
            <w:tcW w:type="dxa" w:w="2551"/>
            <w:tcBorders>
              <w:top w:val="none"/>
              <w:bottom w:val="single" w:sz="8" w:space="0" w:color="000000"/>
              <w:left w:val="none"/>
              <w:right w:val="none"/>
            </w:tcBorders>
          </w:tcPr>
          <w:p>
            <w:pPr>
              <w:spacing w:before="60" w:after="60" w:line="276" w:lineRule="auto"/>
              <w:jc w:val="left"/>
            </w:pPr>
            <w:r>
              <w:rPr>
                <w:rFonts w:ascii="Times New Roman" w:hAnsi="Times New Roman"/>
                <w:sz w:val="20"/>
              </w:rPr>
              <w:t>Mediana a baja; principalmente en corporativos financieros y de telecomunicaciones.</w:t>
            </w:r>
          </w:p>
        </w:tc>
      </w:tr>
    </w:tbl>
    <w:p>
      <w:pPr>
        <w:spacing w:line="276" w:lineRule="auto" w:before="80" w:after="240"/>
      </w:pPr>
      <w:r>
        <w:rPr>
          <w:rFonts w:ascii="Times New Roman" w:hAnsi="Times New Roman"/>
          <w:i/>
          <w:sz w:val="20"/>
        </w:rPr>
        <w:t xml:space="preserve">Nota. </w:t>
      </w:r>
      <w:r>
        <w:rPr>
          <w:rFonts w:ascii="Times New Roman" w:hAnsi="Times New Roman"/>
          <w:sz w:val="20"/>
        </w:rPr>
        <w:t>Elaboración propia a partir del análisis de arquitecturas y reportes de mercado de software empresarial.</w:t>
      </w:r>
    </w:p>
    <w:p>
      <w:pPr>
        <w:spacing w:line="480" w:lineRule="auto" w:before="240" w:after="80"/>
        <w:jc w:val="left"/>
      </w:pPr>
      <w:r>
        <w:rPr>
          <w:rFonts w:ascii="Times New Roman" w:hAnsi="Times New Roman"/>
          <w:b/>
          <w:sz w:val="24"/>
        </w:rPr>
        <w:t>6. Caso de Uso Práctico Empresarial: Portal de Gestión Operativa</w:t>
      </w:r>
    </w:p>
    <w:p>
      <w:pPr>
        <w:spacing w:line="480" w:lineRule="auto" w:before="0" w:after="0"/>
        <w:ind w:firstLine="720"/>
        <w:jc w:val="both"/>
      </w:pPr>
      <w:r>
        <w:rPr>
          <w:rFonts w:ascii="Times New Roman" w:hAnsi="Times New Roman"/>
          <w:sz w:val="24"/>
        </w:rPr>
        <w:t>Para evidenciar la aplicabilidad de los conceptos teóricos analizados, se expone a continuación un caso de uso práctico inspirado en la modernización digital de una empresa de servicios y cuidado estético: Lush Nails Spa, una cadena con múltiples sucursales que enfrenta dificultades de dispersión de manuales de bioseguridad, solicitudes informales de insumos y falta de seguimiento en la asignación de horarios de especialistas.</w:t>
      </w:r>
    </w:p>
    <w:p>
      <w:pPr>
        <w:spacing w:line="480" w:lineRule="auto" w:before="0" w:after="0"/>
        <w:ind w:firstLine="720"/>
        <w:jc w:val="both"/>
      </w:pPr>
      <w:r>
        <w:rPr>
          <w:rFonts w:ascii="Times New Roman" w:hAnsi="Times New Roman"/>
          <w:sz w:val="24"/>
        </w:rPr>
        <w:t>1. Arquitectura del Portal Propuesto: Se implementa un Sitio de Comunicación Central (Intranet Corporativa) que actúa como puerta de enlace principal para todos los colaboradores de la red, complementado por Sitios de Equipo protegidos para la Gerencia, Recursos Humanos, Contabilidad y Recepcionistas de cada sucursal.</w:t>
      </w:r>
    </w:p>
    <w:p>
      <w:pPr>
        <w:spacing w:line="480" w:lineRule="auto" w:before="0" w:after="0"/>
        <w:ind w:firstLine="720"/>
        <w:jc w:val="both"/>
      </w:pPr>
      <w:r>
        <w:rPr>
          <w:rFonts w:ascii="Times New Roman" w:hAnsi="Times New Roman"/>
          <w:sz w:val="24"/>
        </w:rPr>
        <w:t>2. Gestión Documental Digitalizada: Se crea una Biblioteca Centralizada de Procedimientos Operativos Estándar (POE), en donde se alojan manuales de manicura, protocolos de esterilización y fichas técnicas de esmaltes y acrílicos. Cada archivo se etiqueta obligatoriamente con metadatos de categoría, versión aprobada y sucursal autorizada. Gracias a la coautoría en tiempo real, los supervisores técnicos actualizan protocolos de forma simultánea sin generar versiones duplicadas.</w:t>
      </w:r>
    </w:p>
    <w:p>
      <w:pPr>
        <w:spacing w:line="480" w:lineRule="auto" w:before="0" w:after="0"/>
        <w:ind w:firstLine="720"/>
        <w:jc w:val="both"/>
      </w:pPr>
      <w:r>
        <w:rPr>
          <w:rFonts w:ascii="Times New Roman" w:hAnsi="Times New Roman"/>
          <w:sz w:val="24"/>
        </w:rPr>
        <w:t>3. Automatización de Solicitudes de Insumos con Power Automate: Cuando una manicurista o recepcionista detecta escasez de un producto crítico, registra un requerimiento en una Lista de SharePoint. Automáticamente, un flujo de Power Automate evalúa el monto solicitado: si es menor a $100 USD, notifica al administrador de la sucursal para aprobación directa vía Microsoft Teams; si excede dicho monto, enruta la solicitud a la Gerencia General con acuse de recibo. Al aprobarse, el portal envía una orden de compra digitalizada al proveedor aliado mediante correo electrónico automatizado.</w:t>
      </w:r>
    </w:p>
    <w:p>
      <w:pPr>
        <w:spacing w:line="480" w:lineRule="auto" w:before="0" w:after="0"/>
        <w:ind w:firstLine="720"/>
        <w:jc w:val="both"/>
      </w:pPr>
      <w:r>
        <w:rPr>
          <w:rFonts w:ascii="Times New Roman" w:hAnsi="Times New Roman"/>
          <w:sz w:val="24"/>
        </w:rPr>
        <w:t>4. Resultados e Impacto en la Eficiencia: La adopción de esta solución reduce el tiempo de tramitación de pedidos de insumos de 72 horas a tan solo 2 horas, erradica el extravío de facturas físicas en un 100% y permite que el personal acceda a los horarios de atención y manuales corporativos desde cualquier dispositivo móvil o tablet en las cabinas de servicio.</w:t>
      </w:r>
    </w:p>
    <w:p>
      <w:pPr>
        <w:spacing w:line="480" w:lineRule="auto" w:before="240" w:after="80"/>
        <w:jc w:val="left"/>
      </w:pPr>
      <w:r>
        <w:rPr>
          <w:rFonts w:ascii="Times New Roman" w:hAnsi="Times New Roman"/>
          <w:b/>
          <w:sz w:val="24"/>
        </w:rPr>
        <w:t>7. Análisis Crítico: Ventajas y Desventajas</w:t>
      </w:r>
    </w:p>
    <w:p>
      <w:pPr>
        <w:spacing w:line="480" w:lineRule="auto" w:before="0" w:after="0"/>
        <w:ind w:firstLine="720"/>
        <w:jc w:val="both"/>
      </w:pPr>
      <w:r>
        <w:rPr>
          <w:rFonts w:ascii="Times New Roman" w:hAnsi="Times New Roman"/>
          <w:sz w:val="24"/>
        </w:rPr>
        <w:t>Desde una perspectiva crítica de ingeniería de software, ninguna plataforma tecnológica es universalmente perfecta. El éxito de su adopción reside en comprender cabalmente sus fortalezas y sus restricciones inherentes:</w:t>
      </w:r>
    </w:p>
    <w:p>
      <w:pPr>
        <w:spacing w:line="276" w:lineRule="auto" w:before="240" w:after="40"/>
      </w:pPr>
      <w:r>
        <w:rPr>
          <w:rFonts w:ascii="Times New Roman" w:hAnsi="Times New Roman"/>
          <w:b/>
          <w:sz w:val="24"/>
        </w:rPr>
        <w:t>Tabla 4</w:t>
      </w:r>
    </w:p>
    <w:p>
      <w:pPr>
        <w:spacing w:line="276" w:lineRule="auto" w:before="0" w:after="120"/>
      </w:pPr>
      <w:r>
        <w:rPr>
          <w:rFonts w:ascii="Times New Roman" w:hAnsi="Times New Roman"/>
          <w:i/>
          <w:sz w:val="24"/>
        </w:rPr>
        <w:t>Balance Crítico de Fortalezas y Desventajas de Microsoft SharePoint</w:t>
      </w:r>
    </w:p>
    <w:tbl>
      <w:tblPr>
        <w:tblW w:type="auto" w:w="0"/>
        <w:jc w:val="center"/>
        <w:tblLook w:firstColumn="1" w:firstRow="1" w:lastColumn="0" w:lastRow="0" w:noHBand="0" w:noVBand="1" w:val="04A0"/>
      </w:tblPr>
      <w:tblGrid>
        <w:gridCol w:w="3120"/>
        <w:gridCol w:w="3120"/>
        <w:gridCol w:w="3120"/>
      </w:tblGrid>
      <w:tr>
        <w:tc>
          <w:tcPr>
            <w:tcW w:type="dxa" w:w="1984"/>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Dimensión de Análisis</w:t>
            </w:r>
          </w:p>
        </w:tc>
        <w:tc>
          <w:tcPr>
            <w:tcW w:type="dxa" w:w="3685"/>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Ventajas Competitivas</w:t>
            </w:r>
          </w:p>
        </w:tc>
        <w:tc>
          <w:tcPr>
            <w:tcW w:type="dxa" w:w="3685"/>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Desventajas y Limitaciones</w:t>
            </w:r>
          </w:p>
        </w:tc>
      </w:tr>
      <w:tr>
        <w:tc>
          <w:tcPr>
            <w:tcW w:type="dxa" w:w="1984"/>
            <w:tcBorders>
              <w:top w:val="none"/>
              <w:bottom w:val="none"/>
              <w:left w:val="none"/>
              <w:right w:val="none"/>
            </w:tcBorders>
          </w:tcPr>
          <w:p>
            <w:pPr>
              <w:spacing w:before="60" w:after="60" w:line="276" w:lineRule="auto"/>
              <w:jc w:val="left"/>
            </w:pPr>
            <w:r>
              <w:rPr>
                <w:rFonts w:ascii="Times New Roman" w:hAnsi="Times New Roman"/>
                <w:sz w:val="20"/>
              </w:rPr>
              <w:t>Integración Tecnológica</w:t>
            </w:r>
          </w:p>
        </w:tc>
        <w:tc>
          <w:tcPr>
            <w:tcW w:type="dxa" w:w="3685"/>
            <w:tcBorders>
              <w:top w:val="none"/>
              <w:bottom w:val="none"/>
              <w:left w:val="none"/>
              <w:right w:val="none"/>
            </w:tcBorders>
          </w:tcPr>
          <w:p>
            <w:pPr>
              <w:spacing w:before="60" w:after="60" w:line="276" w:lineRule="auto"/>
              <w:jc w:val="left"/>
            </w:pPr>
            <w:r>
              <w:rPr>
                <w:rFonts w:ascii="Times New Roman" w:hAnsi="Times New Roman"/>
                <w:sz w:val="20"/>
              </w:rPr>
              <w:t>Sinergia nativa y perfecta con Teams, Outlook, Word, Excel, Power BI y Azure.</w:t>
            </w:r>
          </w:p>
        </w:tc>
        <w:tc>
          <w:tcPr>
            <w:tcW w:type="dxa" w:w="3685"/>
            <w:tcBorders>
              <w:top w:val="none"/>
              <w:bottom w:val="none"/>
              <w:left w:val="none"/>
              <w:right w:val="none"/>
            </w:tcBorders>
          </w:tcPr>
          <w:p>
            <w:pPr>
              <w:spacing w:before="60" w:after="60" w:line="276" w:lineRule="auto"/>
              <w:jc w:val="left"/>
            </w:pPr>
            <w:r>
              <w:rPr>
                <w:rFonts w:ascii="Times New Roman" w:hAnsi="Times New Roman"/>
                <w:sz w:val="20"/>
              </w:rPr>
              <w:t>Fuerte dependencia del ecosistema Microsoft (Vendor Lock-in).</w:t>
            </w:r>
          </w:p>
        </w:tc>
      </w:tr>
      <w:tr>
        <w:tc>
          <w:tcPr>
            <w:tcW w:type="dxa" w:w="1984"/>
            <w:tcBorders>
              <w:top w:val="none"/>
              <w:bottom w:val="none"/>
              <w:left w:val="none"/>
              <w:right w:val="none"/>
            </w:tcBorders>
          </w:tcPr>
          <w:p>
            <w:pPr>
              <w:spacing w:before="60" w:after="60" w:line="276" w:lineRule="auto"/>
              <w:jc w:val="left"/>
            </w:pPr>
            <w:r>
              <w:rPr>
                <w:rFonts w:ascii="Times New Roman" w:hAnsi="Times New Roman"/>
                <w:sz w:val="20"/>
              </w:rPr>
              <w:t>Curva de Aprendizaje</w:t>
            </w:r>
          </w:p>
        </w:tc>
        <w:tc>
          <w:tcPr>
            <w:tcW w:type="dxa" w:w="3685"/>
            <w:tcBorders>
              <w:top w:val="none"/>
              <w:bottom w:val="none"/>
              <w:left w:val="none"/>
              <w:right w:val="none"/>
            </w:tcBorders>
          </w:tcPr>
          <w:p>
            <w:pPr>
              <w:spacing w:before="60" w:after="60" w:line="276" w:lineRule="auto"/>
              <w:jc w:val="left"/>
            </w:pPr>
            <w:r>
              <w:rPr>
                <w:rFonts w:ascii="Times New Roman" w:hAnsi="Times New Roman"/>
                <w:sz w:val="20"/>
              </w:rPr>
              <w:t>Interfaz moderna y amigable para los usuarios finales; alta familiaridad.</w:t>
            </w:r>
          </w:p>
        </w:tc>
        <w:tc>
          <w:tcPr>
            <w:tcW w:type="dxa" w:w="3685"/>
            <w:tcBorders>
              <w:top w:val="none"/>
              <w:bottom w:val="none"/>
              <w:left w:val="none"/>
              <w:right w:val="none"/>
            </w:tcBorders>
          </w:tcPr>
          <w:p>
            <w:pPr>
              <w:spacing w:before="60" w:after="60" w:line="276" w:lineRule="auto"/>
              <w:jc w:val="left"/>
            </w:pPr>
            <w:r>
              <w:rPr>
                <w:rFonts w:ascii="Times New Roman" w:hAnsi="Times New Roman"/>
                <w:sz w:val="20"/>
              </w:rPr>
              <w:t>Complejidad técnica elevada en la configuración avanzada de gobernanza y taxonomías.</w:t>
            </w:r>
          </w:p>
        </w:tc>
      </w:tr>
      <w:tr>
        <w:tc>
          <w:tcPr>
            <w:tcW w:type="dxa" w:w="1984"/>
            <w:tcBorders>
              <w:top w:val="none"/>
              <w:bottom w:val="none"/>
              <w:left w:val="none"/>
              <w:right w:val="none"/>
            </w:tcBorders>
          </w:tcPr>
          <w:p>
            <w:pPr>
              <w:spacing w:before="60" w:after="60" w:line="276" w:lineRule="auto"/>
              <w:jc w:val="left"/>
            </w:pPr>
            <w:r>
              <w:rPr>
                <w:rFonts w:ascii="Times New Roman" w:hAnsi="Times New Roman"/>
                <w:sz w:val="20"/>
              </w:rPr>
              <w:t>Gestión Documental</w:t>
            </w:r>
          </w:p>
        </w:tc>
        <w:tc>
          <w:tcPr>
            <w:tcW w:type="dxa" w:w="3685"/>
            <w:tcBorders>
              <w:top w:val="none"/>
              <w:bottom w:val="none"/>
              <w:left w:val="none"/>
              <w:right w:val="none"/>
            </w:tcBorders>
          </w:tcPr>
          <w:p>
            <w:pPr>
              <w:spacing w:before="60" w:after="60" w:line="276" w:lineRule="auto"/>
              <w:jc w:val="left"/>
            </w:pPr>
            <w:r>
              <w:rPr>
                <w:rFonts w:ascii="Times New Roman" w:hAnsi="Times New Roman"/>
                <w:sz w:val="20"/>
              </w:rPr>
              <w:t>Control de versiones líder en la industria, metadatos enriquecidos y coautoría.</w:t>
            </w:r>
          </w:p>
        </w:tc>
        <w:tc>
          <w:tcPr>
            <w:tcW w:type="dxa" w:w="3685"/>
            <w:tcBorders>
              <w:top w:val="none"/>
              <w:bottom w:val="none"/>
              <w:left w:val="none"/>
              <w:right w:val="none"/>
            </w:tcBorders>
          </w:tcPr>
          <w:p>
            <w:pPr>
              <w:spacing w:before="60" w:after="60" w:line="276" w:lineRule="auto"/>
              <w:jc w:val="left"/>
            </w:pPr>
            <w:r>
              <w:rPr>
                <w:rFonts w:ascii="Times New Roman" w:hAnsi="Times New Roman"/>
                <w:sz w:val="20"/>
              </w:rPr>
              <w:t>Riesgo de desorden si no se definen políticas estrictas de arquitectura de información.</w:t>
            </w:r>
          </w:p>
        </w:tc>
      </w:tr>
      <w:tr>
        <w:tc>
          <w:tcPr>
            <w:tcW w:type="dxa" w:w="1984"/>
            <w:tcBorders>
              <w:top w:val="none"/>
              <w:bottom w:val="none"/>
              <w:left w:val="none"/>
              <w:right w:val="none"/>
            </w:tcBorders>
          </w:tcPr>
          <w:p>
            <w:pPr>
              <w:spacing w:before="60" w:after="60" w:line="276" w:lineRule="auto"/>
              <w:jc w:val="left"/>
            </w:pPr>
            <w:r>
              <w:rPr>
                <w:rFonts w:ascii="Times New Roman" w:hAnsi="Times New Roman"/>
                <w:sz w:val="20"/>
              </w:rPr>
              <w:t>Automatización de Procesos</w:t>
            </w:r>
          </w:p>
        </w:tc>
        <w:tc>
          <w:tcPr>
            <w:tcW w:type="dxa" w:w="3685"/>
            <w:tcBorders>
              <w:top w:val="none"/>
              <w:bottom w:val="none"/>
              <w:left w:val="none"/>
              <w:right w:val="none"/>
            </w:tcBorders>
          </w:tcPr>
          <w:p>
            <w:pPr>
              <w:spacing w:before="60" w:after="60" w:line="276" w:lineRule="auto"/>
              <w:jc w:val="left"/>
            </w:pPr>
            <w:r>
              <w:rPr>
                <w:rFonts w:ascii="Times New Roman" w:hAnsi="Times New Roman"/>
                <w:sz w:val="20"/>
              </w:rPr>
              <w:t>Creación rápida de flujos sin necesidad de programadores dedicados.</w:t>
            </w:r>
          </w:p>
        </w:tc>
        <w:tc>
          <w:tcPr>
            <w:tcW w:type="dxa" w:w="3685"/>
            <w:tcBorders>
              <w:top w:val="none"/>
              <w:bottom w:val="none"/>
              <w:left w:val="none"/>
              <w:right w:val="none"/>
            </w:tcBorders>
          </w:tcPr>
          <w:p>
            <w:pPr>
              <w:spacing w:before="60" w:after="60" w:line="276" w:lineRule="auto"/>
              <w:jc w:val="left"/>
            </w:pPr>
            <w:r>
              <w:rPr>
                <w:rFonts w:ascii="Times New Roman" w:hAnsi="Times New Roman"/>
                <w:sz w:val="20"/>
              </w:rPr>
              <w:t>Power Automate posee límites en la ejecución de bucles pesados o transacciones masivas.</w:t>
            </w:r>
          </w:p>
        </w:tc>
      </w:tr>
      <w:tr>
        <w:tc>
          <w:tcPr>
            <w:tcW w:type="dxa" w:w="1984"/>
            <w:tcBorders>
              <w:top w:val="none"/>
              <w:bottom w:val="none"/>
              <w:left w:val="none"/>
              <w:right w:val="none"/>
            </w:tcBorders>
          </w:tcPr>
          <w:p>
            <w:pPr>
              <w:spacing w:before="60" w:after="60" w:line="276" w:lineRule="auto"/>
              <w:jc w:val="left"/>
            </w:pPr>
            <w:r>
              <w:rPr>
                <w:rFonts w:ascii="Times New Roman" w:hAnsi="Times New Roman"/>
                <w:sz w:val="20"/>
              </w:rPr>
              <w:t>Costos Operativos</w:t>
            </w:r>
          </w:p>
        </w:tc>
        <w:tc>
          <w:tcPr>
            <w:tcW w:type="dxa" w:w="3685"/>
            <w:tcBorders>
              <w:top w:val="none"/>
              <w:bottom w:val="none"/>
              <w:left w:val="none"/>
              <w:right w:val="none"/>
            </w:tcBorders>
          </w:tcPr>
          <w:p>
            <w:pPr>
              <w:spacing w:before="60" w:after="60" w:line="276" w:lineRule="auto"/>
              <w:jc w:val="left"/>
            </w:pPr>
            <w:r>
              <w:rPr>
                <w:rFonts w:ascii="Times New Roman" w:hAnsi="Times New Roman"/>
                <w:sz w:val="20"/>
              </w:rPr>
              <w:t>Excelente relación costo-beneficio para empresas ya suscritas a Microsoft 365.</w:t>
            </w:r>
          </w:p>
        </w:tc>
        <w:tc>
          <w:tcPr>
            <w:tcW w:type="dxa" w:w="3685"/>
            <w:tcBorders>
              <w:top w:val="none"/>
              <w:bottom w:val="none"/>
              <w:left w:val="none"/>
              <w:right w:val="none"/>
            </w:tcBorders>
          </w:tcPr>
          <w:p>
            <w:pPr>
              <w:spacing w:before="60" w:after="60" w:line="276" w:lineRule="auto"/>
              <w:jc w:val="left"/>
            </w:pPr>
            <w:r>
              <w:rPr>
                <w:rFonts w:ascii="Times New Roman" w:hAnsi="Times New Roman"/>
                <w:sz w:val="20"/>
              </w:rPr>
              <w:t>Planes avanzados (E5) con seguridad avanzada pueden resultar costosos para microempresas.</w:t>
            </w:r>
          </w:p>
        </w:tc>
      </w:tr>
      <w:tr>
        <w:tc>
          <w:tcPr>
            <w:tcW w:type="dxa" w:w="1984"/>
            <w:tcBorders>
              <w:top w:val="none"/>
              <w:bottom w:val="single" w:sz="8" w:space="0" w:color="000000"/>
              <w:left w:val="none"/>
              <w:right w:val="none"/>
            </w:tcBorders>
          </w:tcPr>
          <w:p>
            <w:pPr>
              <w:spacing w:before="60" w:after="60" w:line="276" w:lineRule="auto"/>
              <w:jc w:val="left"/>
            </w:pPr>
            <w:r>
              <w:rPr>
                <w:rFonts w:ascii="Times New Roman" w:hAnsi="Times New Roman"/>
                <w:sz w:val="20"/>
              </w:rPr>
              <w:t>Desarrollo a Medida</w:t>
            </w:r>
          </w:p>
        </w:tc>
        <w:tc>
          <w:tcPr>
            <w:tcW w:type="dxa" w:w="3685"/>
            <w:tcBorders>
              <w:top w:val="none"/>
              <w:bottom w:val="single" w:sz="8" w:space="0" w:color="000000"/>
              <w:left w:val="none"/>
              <w:right w:val="none"/>
            </w:tcBorders>
          </w:tcPr>
          <w:p>
            <w:pPr>
              <w:spacing w:before="60" w:after="60" w:line="276" w:lineRule="auto"/>
              <w:jc w:val="left"/>
            </w:pPr>
            <w:r>
              <w:rPr>
                <w:rFonts w:ascii="Times New Roman" w:hAnsi="Times New Roman"/>
                <w:sz w:val="20"/>
              </w:rPr>
              <w:t>El framework SPFx permite crear componentes web de alto rendimiento en React.</w:t>
            </w:r>
          </w:p>
        </w:tc>
        <w:tc>
          <w:tcPr>
            <w:tcW w:type="dxa" w:w="3685"/>
            <w:tcBorders>
              <w:top w:val="none"/>
              <w:bottom w:val="single" w:sz="8" w:space="0" w:color="000000"/>
              <w:left w:val="none"/>
              <w:right w:val="none"/>
            </w:tcBorders>
          </w:tcPr>
          <w:p>
            <w:pPr>
              <w:spacing w:before="60" w:after="60" w:line="276" w:lineRule="auto"/>
              <w:jc w:val="left"/>
            </w:pPr>
            <w:r>
              <w:rPr>
                <w:rFonts w:ascii="Times New Roman" w:hAnsi="Times New Roman"/>
                <w:sz w:val="20"/>
              </w:rPr>
              <w:t>Requiere desarrolladores capacitados en Node.js, TypeScript y el ciclo de vida de Azure.</w:t>
            </w:r>
          </w:p>
        </w:tc>
      </w:tr>
    </w:tbl>
    <w:p>
      <w:pPr>
        <w:spacing w:line="276" w:lineRule="auto" w:before="80" w:after="240"/>
      </w:pPr>
      <w:r>
        <w:rPr>
          <w:rFonts w:ascii="Times New Roman" w:hAnsi="Times New Roman"/>
          <w:i/>
          <w:sz w:val="20"/>
        </w:rPr>
        <w:t xml:space="preserve">Nota. </w:t>
      </w:r>
      <w:r>
        <w:rPr>
          <w:rFonts w:ascii="Times New Roman" w:hAnsi="Times New Roman"/>
          <w:sz w:val="20"/>
        </w:rPr>
        <w:t>Elaboración propia con base en el análisis de adopción tecnológica empresarial.</w:t>
      </w:r>
    </w:p>
    <w:p>
      <w:pPr>
        <w:spacing w:line="480" w:lineRule="auto" w:before="240" w:after="80"/>
        <w:jc w:val="left"/>
      </w:pPr>
      <w:r>
        <w:rPr>
          <w:rFonts w:ascii="Times New Roman" w:hAnsi="Times New Roman"/>
          <w:b/>
          <w:sz w:val="24"/>
        </w:rPr>
        <w:t>8. Conclusiones Técnicas</w:t>
      </w:r>
    </w:p>
    <w:p>
      <w:pPr>
        <w:spacing w:line="480" w:lineRule="auto" w:before="0" w:after="0"/>
        <w:ind w:firstLine="720"/>
        <w:jc w:val="both"/>
      </w:pPr>
      <w:r>
        <w:rPr>
          <w:rFonts w:ascii="Times New Roman" w:hAnsi="Times New Roman"/>
          <w:sz w:val="24"/>
        </w:rPr>
        <w:t>1. Los Portales Empresariales Corporativos (EIP) han trascendido el papel pasivo de almacenamiento de información para erigirse como el núcleo neurálgico de la operatividad, comunicación y toma de decisiones en las organizaciones modernas, constituyendo una pieza indispensable en cualquier estrategia seria de transformación digital.</w:t>
      </w:r>
    </w:p>
    <w:p>
      <w:pPr>
        <w:spacing w:line="480" w:lineRule="auto" w:before="0" w:after="0"/>
        <w:ind w:firstLine="720"/>
        <w:jc w:val="both"/>
      </w:pPr>
      <w:r>
        <w:rPr>
          <w:rFonts w:ascii="Times New Roman" w:hAnsi="Times New Roman"/>
          <w:sz w:val="24"/>
        </w:rPr>
        <w:t>2. Microsoft SharePoint se posiciona como una de las plataformas de portal más completas, versátiles y maduras del mercado global, destacando especialmente por su arquitectura en la nube escalable, su liderazgo indiscutible en gestión de contenidos empresariales (ECM) y su profunda cohesión con el ecosistema de productividad y seguridad de Microsoft 365.</w:t>
      </w:r>
    </w:p>
    <w:p>
      <w:pPr>
        <w:spacing w:line="480" w:lineRule="auto" w:before="0" w:after="0"/>
        <w:ind w:firstLine="720"/>
        <w:jc w:val="both"/>
      </w:pPr>
      <w:r>
        <w:rPr>
          <w:rFonts w:ascii="Times New Roman" w:hAnsi="Times New Roman"/>
          <w:sz w:val="24"/>
        </w:rPr>
        <w:t>3. En la comparativa frente a competidores directos, mientras que SAP Fiori domina con holgura en entornos transaccionales altamente integrados al ERP corporativo y Oracle WebCenter satisface las necesidades de portales compuestos complejos con infraestructura existente, SharePoint sobresale por su equilibrio integral entre usabilidad, velocidad de despliegue, automatización de procesos ligeros y democratización de la colaboración entre colaboradores internos y externos.</w:t>
      </w:r>
    </w:p>
    <w:p>
      <w:pPr>
        <w:spacing w:line="480" w:lineRule="auto" w:before="0" w:after="0"/>
        <w:ind w:firstLine="720"/>
        <w:jc w:val="both"/>
      </w:pPr>
      <w:r>
        <w:rPr>
          <w:rFonts w:ascii="Times New Roman" w:hAnsi="Times New Roman"/>
          <w:sz w:val="24"/>
        </w:rPr>
        <w:t>4. Para el profesional en desarrollo de software, dominar las tecnologías de extensión de portales empresariales (como SPFx, Microsoft Graph API, Webhooks y arquitecturas de microservicios híbridas) representa una competencia altamente cotizada en el mercado laboral, permitiendo construir soluciones que integran el backend transaccional con interfaces colaborativas intuitivas y seguras.</w:t>
      </w:r>
    </w:p>
    <w:p>
      <w:r>
        <w:br w:type="page"/>
      </w:r>
    </w:p>
    <w:p>
      <w:pPr>
        <w:spacing w:line="480" w:lineRule="auto" w:before="240" w:after="120"/>
        <w:jc w:val="center"/>
      </w:pPr>
      <w:r>
        <w:rPr>
          <w:rFonts w:ascii="Times New Roman" w:hAnsi="Times New Roman"/>
          <w:b/>
          <w:sz w:val="24"/>
        </w:rPr>
        <w:t>Referencias</w:t>
      </w:r>
    </w:p>
    <w:p>
      <w:pPr>
        <w:spacing w:line="480" w:lineRule="auto" w:before="0" w:after="0"/>
        <w:ind w:left="720" w:hanging="720"/>
        <w:jc w:val="both"/>
      </w:pPr>
      <w:r>
        <w:rPr>
          <w:rFonts w:ascii="Times New Roman" w:hAnsi="Times New Roman"/>
          <w:sz w:val="24"/>
        </w:rPr>
        <w:t xml:space="preserve">Gartner, Inc. (2023). </w:t>
      </w:r>
      <w:r>
        <w:rPr>
          <w:rFonts w:ascii="Times New Roman" w:hAnsi="Times New Roman"/>
          <w:i/>
          <w:sz w:val="24"/>
        </w:rPr>
        <w:t xml:space="preserve">Magic Quadrant for Content Services Platforms. </w:t>
      </w:r>
      <w:r>
        <w:rPr>
          <w:rFonts w:ascii="Times New Roman" w:hAnsi="Times New Roman"/>
          <w:sz w:val="24"/>
        </w:rPr>
        <w:t>Gartner Research Reports. https://www.gartner.com/en/documents/4005882</w:t>
      </w:r>
    </w:p>
    <w:p>
      <w:pPr>
        <w:spacing w:line="480" w:lineRule="auto" w:before="0" w:after="0"/>
        <w:ind w:left="720" w:hanging="720"/>
        <w:jc w:val="both"/>
      </w:pPr>
      <w:r>
        <w:rPr>
          <w:rFonts w:ascii="Times New Roman" w:hAnsi="Times New Roman"/>
          <w:sz w:val="24"/>
        </w:rPr>
        <w:t xml:space="preserve">Laudon, K. C., &amp; Laudon, J. P. (2022). </w:t>
      </w:r>
      <w:r>
        <w:rPr>
          <w:rFonts w:ascii="Times New Roman" w:hAnsi="Times New Roman"/>
          <w:i/>
          <w:sz w:val="24"/>
        </w:rPr>
        <w:t xml:space="preserve">Sistemas de información gerencial </w:t>
      </w:r>
      <w:r>
        <w:rPr>
          <w:rFonts w:ascii="Times New Roman" w:hAnsi="Times New Roman"/>
          <w:sz w:val="24"/>
        </w:rPr>
        <w:t>(17.ª ed.). Pearson Educación.</w:t>
      </w:r>
    </w:p>
    <w:p>
      <w:pPr>
        <w:spacing w:line="480" w:lineRule="auto" w:before="0" w:after="0"/>
        <w:ind w:left="720" w:hanging="720"/>
        <w:jc w:val="both"/>
      </w:pPr>
      <w:r>
        <w:rPr>
          <w:rFonts w:ascii="Times New Roman" w:hAnsi="Times New Roman"/>
          <w:sz w:val="24"/>
        </w:rPr>
        <w:t xml:space="preserve">Microsoft Corporation. (2024). </w:t>
      </w:r>
      <w:r>
        <w:rPr>
          <w:rFonts w:ascii="Times New Roman" w:hAnsi="Times New Roman"/>
          <w:i/>
          <w:sz w:val="24"/>
        </w:rPr>
        <w:t xml:space="preserve">SharePoint Online technical architecture and developer documentation. </w:t>
      </w:r>
      <w:r>
        <w:rPr>
          <w:rFonts w:ascii="Times New Roman" w:hAnsi="Times New Roman"/>
          <w:sz w:val="24"/>
        </w:rPr>
        <w:t>Microsoft Learn. https://learn.microsoft.com/es-es/sharepoint/</w:t>
      </w:r>
    </w:p>
    <w:p>
      <w:pPr>
        <w:spacing w:line="480" w:lineRule="auto" w:before="0" w:after="0"/>
        <w:ind w:left="720" w:hanging="720"/>
        <w:jc w:val="both"/>
      </w:pPr>
      <w:r>
        <w:rPr>
          <w:rFonts w:ascii="Times New Roman" w:hAnsi="Times New Roman"/>
          <w:sz w:val="24"/>
        </w:rPr>
        <w:t xml:space="preserve">Oracle Corporation. (2023). </w:t>
      </w:r>
      <w:r>
        <w:rPr>
          <w:rFonts w:ascii="Times New Roman" w:hAnsi="Times New Roman"/>
          <w:i/>
          <w:sz w:val="24"/>
        </w:rPr>
        <w:t xml:space="preserve">Oracle WebCenter Portal: Architecture and administration guide (Release 12c). </w:t>
      </w:r>
      <w:r>
        <w:rPr>
          <w:rFonts w:ascii="Times New Roman" w:hAnsi="Times New Roman"/>
          <w:sz w:val="24"/>
        </w:rPr>
        <w:t>Oracle Help Center. https://docs.oracle.com/en/middleware/webcenter/</w:t>
      </w:r>
    </w:p>
    <w:p>
      <w:pPr>
        <w:spacing w:line="480" w:lineRule="auto" w:before="0" w:after="0"/>
        <w:ind w:left="720" w:hanging="720"/>
        <w:jc w:val="both"/>
      </w:pPr>
      <w:r>
        <w:rPr>
          <w:rFonts w:ascii="Times New Roman" w:hAnsi="Times New Roman"/>
          <w:sz w:val="24"/>
        </w:rPr>
        <w:t xml:space="preserve">SAP SE. (2024). </w:t>
      </w:r>
      <w:r>
        <w:rPr>
          <w:rFonts w:ascii="Times New Roman" w:hAnsi="Times New Roman"/>
          <w:i/>
          <w:sz w:val="24"/>
        </w:rPr>
        <w:t xml:space="preserve">SAP Fiori design guidelines and SAP Build Work Zone overview. </w:t>
      </w:r>
      <w:r>
        <w:rPr>
          <w:rFonts w:ascii="Times New Roman" w:hAnsi="Times New Roman"/>
          <w:sz w:val="24"/>
        </w:rPr>
        <w:t>SAP Community &amp; Documentation. https://experience.sap.com/fiori-design-web/</w:t>
      </w:r>
    </w:p>
    <w:p>
      <w:pPr>
        <w:spacing w:line="480" w:lineRule="auto" w:before="0" w:after="0"/>
        <w:ind w:left="720" w:hanging="720"/>
        <w:jc w:val="both"/>
      </w:pPr>
      <w:r>
        <w:rPr>
          <w:rFonts w:ascii="Times New Roman" w:hAnsi="Times New Roman"/>
          <w:sz w:val="24"/>
        </w:rPr>
        <w:t xml:space="preserve">Sommerville, I. (2021). </w:t>
      </w:r>
      <w:r>
        <w:rPr>
          <w:rFonts w:ascii="Times New Roman" w:hAnsi="Times New Roman"/>
          <w:i/>
          <w:sz w:val="24"/>
        </w:rPr>
        <w:t xml:space="preserve">Ingeniería de software </w:t>
      </w:r>
      <w:r>
        <w:rPr>
          <w:rFonts w:ascii="Times New Roman" w:hAnsi="Times New Roman"/>
          <w:sz w:val="24"/>
        </w:rPr>
        <w:t>(10.ª ed.). Pearson Educación.</w:t>
      </w:r>
    </w:p>
    <w:p>
      <w:pPr>
        <w:spacing w:line="480" w:lineRule="auto" w:before="0" w:after="0"/>
        <w:ind w:left="720" w:hanging="720"/>
        <w:jc w:val="both"/>
      </w:pPr>
      <w:r>
        <w:rPr>
          <w:rFonts w:ascii="Times New Roman" w:hAnsi="Times New Roman"/>
          <w:sz w:val="24"/>
        </w:rPr>
        <w:t xml:space="preserve">Stallings, W. (2023). </w:t>
      </w:r>
      <w:r>
        <w:rPr>
          <w:rFonts w:ascii="Times New Roman" w:hAnsi="Times New Roman"/>
          <w:i/>
          <w:sz w:val="24"/>
        </w:rPr>
        <w:t xml:space="preserve">Cryptography and network security: Principles and practice </w:t>
      </w:r>
      <w:r>
        <w:rPr>
          <w:rFonts w:ascii="Times New Roman" w:hAnsi="Times New Roman"/>
          <w:sz w:val="24"/>
        </w:rPr>
        <w:t>(8.ª ed.). Pearson Education.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