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pPr>
    </w:p>
    <w:p>
      <w:pPr>
        <w:spacing w:line="240" w:lineRule="auto"/>
      </w:pPr>
    </w:p>
    <w:p>
      <w:pPr>
        <w:spacing w:line="240" w:lineRule="auto"/>
      </w:pPr>
    </w:p>
    <w:p>
      <w:pPr>
        <w:spacing w:line="480" w:lineRule="auto"/>
        <w:jc w:val="center"/>
      </w:pPr>
      <w:r>
        <w:rPr>
          <w:b/>
          <w:sz w:val="24"/>
        </w:rPr>
        <w:t>Diseño, Arquitectura e Implementación de un Portal Empresarial Corporativo:</w:t>
      </w:r>
      <w:r>
        <w:br/>
      </w:r>
      <w:r>
        <w:rPr>
          <w:b/>
          <w:sz w:val="24"/>
        </w:rPr>
        <w:t>Estudio de Caso Integral para la Empresa Ficticia Lush Nails Spa S.A.</w:t>
      </w:r>
    </w:p>
    <w:p>
      <w:pPr>
        <w:spacing w:line="480" w:lineRule="auto"/>
        <w:jc w:val="center"/>
      </w:pPr>
      <w:r>
        <w:rPr>
          <w:sz w:val="24"/>
        </w:rPr>
        <w:t>Informe Técnico de Diseño y Desarrollo – Taller 4 (Unidad 3)</w:t>
      </w:r>
    </w:p>
    <w:p>
      <w:pPr>
        <w:spacing w:line="240" w:lineRule="auto"/>
      </w:pPr>
    </w:p>
    <w:p>
      <w:pPr>
        <w:spacing w:line="240" w:lineRule="auto"/>
      </w:pPr>
    </w:p>
    <w:p>
      <w:pPr>
        <w:spacing w:line="240" w:lineRule="auto"/>
      </w:pPr>
    </w:p>
    <w:p>
      <w:pPr>
        <w:spacing w:line="240" w:lineRule="auto"/>
      </w:pPr>
    </w:p>
    <w:p>
      <w:pPr>
        <w:spacing w:line="480" w:lineRule="auto" w:before="0" w:after="0"/>
        <w:jc w:val="center"/>
      </w:pPr>
      <w:r>
        <w:rPr>
          <w:sz w:val="24"/>
        </w:rPr>
        <w:t>Nombre del Estudiante: Stalyn Mateo Sánchez Cevallos</w:t>
      </w:r>
    </w:p>
    <w:p>
      <w:pPr>
        <w:spacing w:line="480" w:lineRule="auto" w:before="0" w:after="0"/>
        <w:jc w:val="center"/>
      </w:pPr>
      <w:r>
        <w:rPr>
          <w:sz w:val="24"/>
        </w:rPr>
        <w:t>Carrera: 4.° Nivel – Desarrollo de Software</w:t>
      </w:r>
    </w:p>
    <w:p>
      <w:pPr>
        <w:spacing w:line="480" w:lineRule="auto" w:before="0" w:after="0"/>
        <w:jc w:val="center"/>
      </w:pPr>
      <w:r>
        <w:rPr>
          <w:sz w:val="24"/>
        </w:rPr>
        <w:t>Institución: Instituto Superior Universitario Japón</w:t>
      </w:r>
    </w:p>
    <w:p>
      <w:pPr>
        <w:spacing w:line="480" w:lineRule="auto" w:before="0" w:after="0"/>
        <w:jc w:val="center"/>
      </w:pPr>
      <w:r>
        <w:rPr>
          <w:sz w:val="24"/>
        </w:rPr>
        <w:t>Asignatura: Desarrollo de Portales Empresariales o Corporativos</w:t>
      </w:r>
    </w:p>
    <w:p>
      <w:pPr>
        <w:spacing w:line="480" w:lineRule="auto" w:before="0" w:after="0"/>
        <w:jc w:val="center"/>
      </w:pPr>
      <w:r>
        <w:rPr>
          <w:sz w:val="24"/>
        </w:rPr>
        <w:t>Código de Asignatura: QU-DSW-AM-DESF_L405-19886</w:t>
      </w:r>
    </w:p>
    <w:p>
      <w:pPr>
        <w:spacing w:line="480" w:lineRule="auto" w:before="0" w:after="0"/>
        <w:jc w:val="center"/>
      </w:pPr>
      <w:r>
        <w:rPr>
          <w:sz w:val="24"/>
        </w:rPr>
        <w:t>Docente de la Cátedra: Ing. Docente Tutor</w:t>
      </w:r>
    </w:p>
    <w:p>
      <w:pPr>
        <w:spacing w:line="480" w:lineRule="auto" w:before="0" w:after="0"/>
        <w:jc w:val="center"/>
      </w:pPr>
      <w:r>
        <w:rPr>
          <w:sz w:val="24"/>
        </w:rPr>
        <w:t>Fecha de Entrega: 14 de septiembre de 2026</w:t>
      </w:r>
    </w:p>
    <w:p>
      <w:r>
        <w:br w:type="page"/>
      </w:r>
    </w:p>
    <w:p>
      <w:pPr>
        <w:spacing w:line="480" w:lineRule="auto" w:before="240" w:after="120"/>
        <w:jc w:val="center"/>
      </w:pPr>
      <w:r>
        <w:rPr>
          <w:rFonts w:ascii="Times New Roman" w:hAnsi="Times New Roman"/>
          <w:b/>
          <w:sz w:val="24"/>
        </w:rPr>
        <w:t>Portal Empresarial Corporativo: Lush Nails Spa S.A.</w:t>
      </w:r>
    </w:p>
    <w:p>
      <w:pPr>
        <w:spacing w:line="480" w:lineRule="auto" w:before="240" w:after="80"/>
        <w:jc w:val="left"/>
      </w:pPr>
      <w:r>
        <w:rPr>
          <w:rFonts w:ascii="Times New Roman" w:hAnsi="Times New Roman"/>
          <w:b/>
          <w:sz w:val="24"/>
        </w:rPr>
        <w:t>1. Perfil Corporativo de la Empresa Ficticia</w:t>
      </w:r>
    </w:p>
    <w:p>
      <w:pPr>
        <w:spacing w:line="480" w:lineRule="auto" w:before="0" w:after="0"/>
        <w:ind w:firstLine="720"/>
        <w:jc w:val="both"/>
      </w:pPr>
      <w:r>
        <w:rPr>
          <w:rFonts w:ascii="Times New Roman" w:hAnsi="Times New Roman"/>
          <w:sz w:val="24"/>
        </w:rPr>
        <w:t>En el entorno de negocios actual, las empresas dedicadas al sector de servicios estéticos, cuidado personal y bienestar operan en un mercado altamente competitivo, donde la experiencia del cliente y la agilidad administrativa son factores decisivos para la sostenibilidad y el crecimiento. Para el desarrollo del presente taller práctico de la Unidad 3, se concibe la empresa ficticia Lush Nails Spa S.A., una cadena corporativa en expansión especializada en servicios profesionales de manicura, pedicura estética, tratamientos de spa y diseño de uñas con tres sucursales operativas en áreas urbanas clave.</w:t>
      </w:r>
    </w:p>
    <w:p>
      <w:pPr>
        <w:spacing w:line="480" w:lineRule="auto" w:before="0" w:after="0"/>
        <w:ind w:firstLine="720"/>
        <w:jc w:val="both"/>
      </w:pPr>
      <w:r>
        <w:rPr>
          <w:rFonts w:ascii="Times New Roman" w:hAnsi="Times New Roman"/>
          <w:sz w:val="24"/>
        </w:rPr>
        <w:t>Razón Social: Lush Nails Spa S.A. Giro del Negocio: Servicios de belleza, spa de uñas y venta de insumos profesionales. Misión Corporativa: Ofrecer una experiencia de bienestar y belleza personalizada, garantizando los más rigurosos estándares de higiene, profesionalismo y vanguardia estética, respaldados por plataformas tecnológicas accesibles e intuitivas. Visión Estratégica: Consolidarse como la franquicia de spas de uñas líder a nivel nacional, destacándose por su excelencia operativa, digitalización total de procesos y fidelización transparente de clientes (Laudon &amp; Laudon, 2022).</w:t>
      </w:r>
    </w:p>
    <w:p>
      <w:pPr>
        <w:spacing w:line="480" w:lineRule="auto" w:before="0" w:after="0"/>
        <w:ind w:firstLine="720"/>
        <w:jc w:val="both"/>
      </w:pPr>
      <w:r>
        <w:rPr>
          <w:rFonts w:ascii="Times New Roman" w:hAnsi="Times New Roman"/>
          <w:sz w:val="24"/>
        </w:rPr>
        <w:t>Antes de la concepción del portal empresarial, la organización presentaba importantes ineficiencias operativas: gestión manual de agendas de citas por aplicaciones de mensajería instantánea propensa a duplicidades y olvidos, falta de consolidación financiera entre sucursales, pedidos informales de esmaltes y químicos a proveedores, y ausencia de un canal corporativo que evaluara el rendimiento del personal y el cumplimiento de objetivos estratégicos mediante indicadores unificados.</w:t>
      </w:r>
    </w:p>
    <w:p>
      <w:pPr>
        <w:spacing w:line="480" w:lineRule="auto" w:before="240" w:after="80"/>
        <w:jc w:val="left"/>
      </w:pPr>
      <w:r>
        <w:rPr>
          <w:rFonts w:ascii="Times New Roman" w:hAnsi="Times New Roman"/>
          <w:b/>
          <w:sz w:val="24"/>
        </w:rPr>
        <w:t>2. Alcance Funcional y Arquitectura de Módulos</w:t>
      </w:r>
    </w:p>
    <w:p>
      <w:pPr>
        <w:spacing w:line="480" w:lineRule="auto" w:before="0" w:after="0"/>
        <w:ind w:firstLine="720"/>
        <w:jc w:val="both"/>
      </w:pPr>
      <w:r>
        <w:rPr>
          <w:rFonts w:ascii="Times New Roman" w:hAnsi="Times New Roman"/>
          <w:sz w:val="24"/>
        </w:rPr>
        <w:t>El portal empresarial corporativo de Lush Nails Spa se diseña bajo un paradigma dual: combina un Portal Público B2C (Business-to-Consumer) orientado a la captación, reserva y autoservicio del cliente final, con una Intranet Corporativa B2E (Business-to-Employee) protegida para la administración integral del negocio, asignación de citas, control de talento humano y seguimiento del Cuadro de Mando Integral (Balanced Scorecard).</w:t>
      </w:r>
    </w:p>
    <w:p>
      <w:pPr>
        <w:spacing w:line="276" w:lineRule="auto" w:before="240" w:after="40"/>
      </w:pPr>
      <w:r>
        <w:rPr>
          <w:rFonts w:ascii="Times New Roman" w:hAnsi="Times New Roman"/>
          <w:b/>
          <w:sz w:val="24"/>
        </w:rPr>
        <w:t>Tabla 1</w:t>
      </w:r>
    </w:p>
    <w:p>
      <w:pPr>
        <w:spacing w:line="276" w:lineRule="auto" w:before="0" w:after="120"/>
      </w:pPr>
      <w:r>
        <w:rPr>
          <w:rFonts w:ascii="Times New Roman" w:hAnsi="Times New Roman"/>
          <w:i/>
          <w:sz w:val="24"/>
        </w:rPr>
        <w:t>Matriz de Módulos, Alcance y Responsabilidad del Portal Empresarial</w:t>
      </w:r>
    </w:p>
    <w:tbl>
      <w:tblPr>
        <w:tblW w:type="auto" w:w="0"/>
        <w:jc w:val="center"/>
        <w:tblLook w:firstColumn="1" w:firstRow="1" w:lastColumn="0" w:lastRow="0" w:noHBand="0" w:noVBand="1" w:val="04A0"/>
      </w:tblPr>
      <w:tblGrid>
        <w:gridCol w:w="2340"/>
        <w:gridCol w:w="2340"/>
        <w:gridCol w:w="2340"/>
        <w:gridCol w:w="2340"/>
      </w:tblGrid>
      <w:tr>
        <w:tc>
          <w:tcPr>
            <w:tcW w:type="dxa" w:w="1814"/>
            <w:tcBorders>
              <w:top w:val="single" w:sz="8" w:space="0" w:color="000000"/>
              <w:bottom w:val="single" w:sz="8" w:space="0" w:color="000000"/>
              <w:left w:val="none"/>
              <w:right w:val="none"/>
            </w:tcBorders>
          </w:tcPr>
          <w:p>
            <w:pPr>
              <w:spacing w:before="80" w:after="80" w:line="276" w:lineRule="auto"/>
              <w:jc w:val="left"/>
            </w:pPr>
            <w:r>
              <w:rPr>
                <w:rFonts w:ascii="Times New Roman" w:hAnsi="Times New Roman"/>
                <w:b/>
                <w:sz w:val="20"/>
              </w:rPr>
              <w:t>Capa Funcional</w:t>
            </w:r>
          </w:p>
        </w:tc>
        <w:tc>
          <w:tcPr>
            <w:tcW w:type="dxa" w:w="2835"/>
            <w:tcBorders>
              <w:top w:val="single" w:sz="8" w:space="0" w:color="000000"/>
              <w:bottom w:val="single" w:sz="8" w:space="0" w:color="000000"/>
              <w:left w:val="none"/>
              <w:right w:val="none"/>
            </w:tcBorders>
          </w:tcPr>
          <w:p>
            <w:pPr>
              <w:spacing w:before="80" w:after="80" w:line="276" w:lineRule="auto"/>
              <w:jc w:val="left"/>
            </w:pPr>
            <w:r>
              <w:rPr>
                <w:rFonts w:ascii="Times New Roman" w:hAnsi="Times New Roman"/>
                <w:b/>
                <w:sz w:val="20"/>
              </w:rPr>
              <w:t>Módulos Integrados</w:t>
            </w:r>
          </w:p>
        </w:tc>
        <w:tc>
          <w:tcPr>
            <w:tcW w:type="dxa" w:w="2835"/>
            <w:tcBorders>
              <w:top w:val="single" w:sz="8" w:space="0" w:color="000000"/>
              <w:bottom w:val="single" w:sz="8" w:space="0" w:color="000000"/>
              <w:left w:val="none"/>
              <w:right w:val="none"/>
            </w:tcBorders>
          </w:tcPr>
          <w:p>
            <w:pPr>
              <w:spacing w:before="80" w:after="80" w:line="276" w:lineRule="auto"/>
              <w:jc w:val="left"/>
            </w:pPr>
            <w:r>
              <w:rPr>
                <w:rFonts w:ascii="Times New Roman" w:hAnsi="Times New Roman"/>
                <w:b/>
                <w:sz w:val="20"/>
              </w:rPr>
              <w:t>Responsabilidad Principal</w:t>
            </w:r>
          </w:p>
        </w:tc>
        <w:tc>
          <w:tcPr>
            <w:tcW w:type="dxa" w:w="2154"/>
            <w:tcBorders>
              <w:top w:val="single" w:sz="8" w:space="0" w:color="000000"/>
              <w:bottom w:val="single" w:sz="8" w:space="0" w:color="000000"/>
              <w:left w:val="none"/>
              <w:right w:val="none"/>
            </w:tcBorders>
          </w:tcPr>
          <w:p>
            <w:pPr>
              <w:spacing w:before="80" w:after="80" w:line="276" w:lineRule="auto"/>
              <w:jc w:val="left"/>
            </w:pPr>
            <w:r>
              <w:rPr>
                <w:rFonts w:ascii="Times New Roman" w:hAnsi="Times New Roman"/>
                <w:b/>
                <w:sz w:val="20"/>
              </w:rPr>
              <w:t>Usuarios Destinatarios</w:t>
            </w:r>
          </w:p>
        </w:tc>
      </w:tr>
      <w:tr>
        <w:tc>
          <w:tcPr>
            <w:tcW w:type="dxa" w:w="1814"/>
            <w:tcBorders>
              <w:top w:val="none"/>
              <w:bottom w:val="none"/>
              <w:left w:val="none"/>
              <w:right w:val="none"/>
            </w:tcBorders>
          </w:tcPr>
          <w:p>
            <w:pPr>
              <w:spacing w:before="60" w:after="60" w:line="276" w:lineRule="auto"/>
              <w:jc w:val="left"/>
            </w:pPr>
            <w:r>
              <w:rPr>
                <w:rFonts w:ascii="Times New Roman" w:hAnsi="Times New Roman"/>
                <w:sz w:val="20"/>
              </w:rPr>
              <w:t>Portal Público (B2C)</w:t>
            </w:r>
          </w:p>
        </w:tc>
        <w:tc>
          <w:tcPr>
            <w:tcW w:type="dxa" w:w="2835"/>
            <w:tcBorders>
              <w:top w:val="none"/>
              <w:bottom w:val="none"/>
              <w:left w:val="none"/>
              <w:right w:val="none"/>
            </w:tcBorders>
          </w:tcPr>
          <w:p>
            <w:pPr>
              <w:spacing w:before="60" w:after="60" w:line="276" w:lineRule="auto"/>
              <w:jc w:val="left"/>
            </w:pPr>
            <w:r>
              <w:rPr>
                <w:rFonts w:ascii="Times New Roman" w:hAnsi="Times New Roman"/>
                <w:sz w:val="20"/>
              </w:rPr>
              <w:t>Inicio, Catálogo de Servicios, Sedes, Agenda en Línea, Galería y Postulación Laboral.</w:t>
            </w:r>
          </w:p>
        </w:tc>
        <w:tc>
          <w:tcPr>
            <w:tcW w:type="dxa" w:w="2835"/>
            <w:tcBorders>
              <w:top w:val="none"/>
              <w:bottom w:val="none"/>
              <w:left w:val="none"/>
              <w:right w:val="none"/>
            </w:tcBorders>
          </w:tcPr>
          <w:p>
            <w:pPr>
              <w:spacing w:before="60" w:after="60" w:line="276" w:lineRule="auto"/>
              <w:jc w:val="left"/>
            </w:pPr>
            <w:r>
              <w:rPr>
                <w:rFonts w:ascii="Times New Roman" w:hAnsi="Times New Roman"/>
                <w:sz w:val="20"/>
              </w:rPr>
              <w:t>Atención omnicanal al cliente, reserva de turnos en tiempo real, difusión de marca y captación de talento.</w:t>
            </w:r>
          </w:p>
        </w:tc>
        <w:tc>
          <w:tcPr>
            <w:tcW w:type="dxa" w:w="2154"/>
            <w:tcBorders>
              <w:top w:val="none"/>
              <w:bottom w:val="none"/>
              <w:left w:val="none"/>
              <w:right w:val="none"/>
            </w:tcBorders>
          </w:tcPr>
          <w:p>
            <w:pPr>
              <w:spacing w:before="60" w:after="60" w:line="276" w:lineRule="auto"/>
              <w:jc w:val="left"/>
            </w:pPr>
            <w:r>
              <w:rPr>
                <w:rFonts w:ascii="Times New Roman" w:hAnsi="Times New Roman"/>
                <w:sz w:val="20"/>
              </w:rPr>
              <w:t>Clientes finales, visitantes web y aspirantes laborales.</w:t>
            </w:r>
          </w:p>
        </w:tc>
      </w:tr>
      <w:tr>
        <w:tc>
          <w:tcPr>
            <w:tcW w:type="dxa" w:w="1814"/>
            <w:tcBorders>
              <w:top w:val="none"/>
              <w:bottom w:val="none"/>
              <w:left w:val="none"/>
              <w:right w:val="none"/>
            </w:tcBorders>
          </w:tcPr>
          <w:p>
            <w:pPr>
              <w:spacing w:before="60" w:after="60" w:line="276" w:lineRule="auto"/>
              <w:jc w:val="left"/>
            </w:pPr>
            <w:r>
              <w:rPr>
                <w:rFonts w:ascii="Times New Roman" w:hAnsi="Times New Roman"/>
                <w:sz w:val="20"/>
              </w:rPr>
              <w:t>Intranet Operativa (B2E)</w:t>
            </w:r>
          </w:p>
        </w:tc>
        <w:tc>
          <w:tcPr>
            <w:tcW w:type="dxa" w:w="2835"/>
            <w:tcBorders>
              <w:top w:val="none"/>
              <w:bottom w:val="none"/>
              <w:left w:val="none"/>
              <w:right w:val="none"/>
            </w:tcBorders>
          </w:tcPr>
          <w:p>
            <w:pPr>
              <w:spacing w:before="60" w:after="60" w:line="276" w:lineRule="auto"/>
              <w:jc w:val="left"/>
            </w:pPr>
            <w:r>
              <w:rPr>
                <w:rFonts w:ascii="Times New Roman" w:hAnsi="Times New Roman"/>
                <w:sz w:val="20"/>
              </w:rPr>
              <w:t>Dashboard de Turnos, Gestión de Citas, Asignación de Cabinas, Fichas de Clientes y Horarios.</w:t>
            </w:r>
          </w:p>
        </w:tc>
        <w:tc>
          <w:tcPr>
            <w:tcW w:type="dxa" w:w="2835"/>
            <w:tcBorders>
              <w:top w:val="none"/>
              <w:bottom w:val="none"/>
              <w:left w:val="none"/>
              <w:right w:val="none"/>
            </w:tcBorders>
          </w:tcPr>
          <w:p>
            <w:pPr>
              <w:spacing w:before="60" w:after="60" w:line="276" w:lineRule="auto"/>
              <w:jc w:val="left"/>
            </w:pPr>
            <w:r>
              <w:rPr>
                <w:rFonts w:ascii="Times New Roman" w:hAnsi="Times New Roman"/>
                <w:sz w:val="20"/>
              </w:rPr>
              <w:t>Orquestación de la operación diaria en cada sucursal, confirmación de citas y control de presencia de manicuristas.</w:t>
            </w:r>
          </w:p>
        </w:tc>
        <w:tc>
          <w:tcPr>
            <w:tcW w:type="dxa" w:w="2154"/>
            <w:tcBorders>
              <w:top w:val="none"/>
              <w:bottom w:val="none"/>
              <w:left w:val="none"/>
              <w:right w:val="none"/>
            </w:tcBorders>
          </w:tcPr>
          <w:p>
            <w:pPr>
              <w:spacing w:before="60" w:after="60" w:line="276" w:lineRule="auto"/>
              <w:jc w:val="left"/>
            </w:pPr>
            <w:r>
              <w:rPr>
                <w:rFonts w:ascii="Times New Roman" w:hAnsi="Times New Roman"/>
                <w:sz w:val="20"/>
              </w:rPr>
              <w:t>Recepcionistas, especialistas y supervisores de sede.</w:t>
            </w:r>
          </w:p>
        </w:tc>
      </w:tr>
      <w:tr>
        <w:tc>
          <w:tcPr>
            <w:tcW w:type="dxa" w:w="1814"/>
            <w:tcBorders>
              <w:top w:val="none"/>
              <w:bottom w:val="none"/>
              <w:left w:val="none"/>
              <w:right w:val="none"/>
            </w:tcBorders>
          </w:tcPr>
          <w:p>
            <w:pPr>
              <w:spacing w:before="60" w:after="60" w:line="276" w:lineRule="auto"/>
              <w:jc w:val="left"/>
            </w:pPr>
            <w:r>
              <w:rPr>
                <w:rFonts w:ascii="Times New Roman" w:hAnsi="Times New Roman"/>
                <w:sz w:val="20"/>
              </w:rPr>
              <w:t>Gestión Corporativa (B2B)</w:t>
            </w:r>
          </w:p>
        </w:tc>
        <w:tc>
          <w:tcPr>
            <w:tcW w:type="dxa" w:w="2835"/>
            <w:tcBorders>
              <w:top w:val="none"/>
              <w:bottom w:val="none"/>
              <w:left w:val="none"/>
              <w:right w:val="none"/>
            </w:tcBorders>
          </w:tcPr>
          <w:p>
            <w:pPr>
              <w:spacing w:before="60" w:after="60" w:line="276" w:lineRule="auto"/>
              <w:jc w:val="left"/>
            </w:pPr>
            <w:r>
              <w:rPr>
                <w:rFonts w:ascii="Times New Roman" w:hAnsi="Times New Roman"/>
                <w:sz w:val="20"/>
              </w:rPr>
              <w:t>Módulo de Proveedores, Alianzas Comerciales y Gestión de Talento Humano (RRHH).</w:t>
            </w:r>
          </w:p>
        </w:tc>
        <w:tc>
          <w:tcPr>
            <w:tcW w:type="dxa" w:w="2835"/>
            <w:tcBorders>
              <w:top w:val="none"/>
              <w:bottom w:val="none"/>
              <w:left w:val="none"/>
              <w:right w:val="none"/>
            </w:tcBorders>
          </w:tcPr>
          <w:p>
            <w:pPr>
              <w:spacing w:before="60" w:after="60" w:line="276" w:lineRule="auto"/>
              <w:jc w:val="left"/>
            </w:pPr>
            <w:r>
              <w:rPr>
                <w:rFonts w:ascii="Times New Roman" w:hAnsi="Times New Roman"/>
                <w:sz w:val="20"/>
              </w:rPr>
              <w:t>Registro de compras de insumos, convenios corporativos y evaluación de expedientes de postulantes.</w:t>
            </w:r>
          </w:p>
        </w:tc>
        <w:tc>
          <w:tcPr>
            <w:tcW w:type="dxa" w:w="2154"/>
            <w:tcBorders>
              <w:top w:val="none"/>
              <w:bottom w:val="none"/>
              <w:left w:val="none"/>
              <w:right w:val="none"/>
            </w:tcBorders>
          </w:tcPr>
          <w:p>
            <w:pPr>
              <w:spacing w:before="60" w:after="60" w:line="276" w:lineRule="auto"/>
              <w:jc w:val="left"/>
            </w:pPr>
            <w:r>
              <w:rPr>
                <w:rFonts w:ascii="Times New Roman" w:hAnsi="Times New Roman"/>
                <w:sz w:val="20"/>
              </w:rPr>
              <w:t>Departamento de Compras y Jefatura de Recursos Humanos.</w:t>
            </w:r>
          </w:p>
        </w:tc>
      </w:tr>
      <w:tr>
        <w:tc>
          <w:tcPr>
            <w:tcW w:type="dxa" w:w="1814"/>
            <w:tcBorders>
              <w:top w:val="none"/>
              <w:bottom w:val="single" w:sz="8" w:space="0" w:color="000000"/>
              <w:left w:val="none"/>
              <w:right w:val="none"/>
            </w:tcBorders>
          </w:tcPr>
          <w:p>
            <w:pPr>
              <w:spacing w:before="60" w:after="60" w:line="276" w:lineRule="auto"/>
              <w:jc w:val="left"/>
            </w:pPr>
            <w:r>
              <w:rPr>
                <w:rFonts w:ascii="Times New Roman" w:hAnsi="Times New Roman"/>
                <w:sz w:val="20"/>
              </w:rPr>
              <w:t>Dirección Estratégica (BI)</w:t>
            </w:r>
          </w:p>
        </w:tc>
        <w:tc>
          <w:tcPr>
            <w:tcW w:type="dxa" w:w="2835"/>
            <w:tcBorders>
              <w:top w:val="none"/>
              <w:bottom w:val="single" w:sz="8" w:space="0" w:color="000000"/>
              <w:left w:val="none"/>
              <w:right w:val="none"/>
            </w:tcBorders>
          </w:tcPr>
          <w:p>
            <w:pPr>
              <w:spacing w:before="60" w:after="60" w:line="276" w:lineRule="auto"/>
              <w:jc w:val="left"/>
            </w:pPr>
            <w:r>
              <w:rPr>
                <w:rFonts w:ascii="Times New Roman" w:hAnsi="Times New Roman"/>
                <w:sz w:val="20"/>
              </w:rPr>
              <w:t>Balanced Scorecard (BSC), Tablero de Comando Ejecutivo, Historial Financiero y Roles.</w:t>
            </w:r>
          </w:p>
        </w:tc>
        <w:tc>
          <w:tcPr>
            <w:tcW w:type="dxa" w:w="2835"/>
            <w:tcBorders>
              <w:top w:val="none"/>
              <w:bottom w:val="single" w:sz="8" w:space="0" w:color="000000"/>
              <w:left w:val="none"/>
              <w:right w:val="none"/>
            </w:tcBorders>
          </w:tcPr>
          <w:p>
            <w:pPr>
              <w:spacing w:before="60" w:after="60" w:line="276" w:lineRule="auto"/>
              <w:jc w:val="left"/>
            </w:pPr>
            <w:r>
              <w:rPr>
                <w:rFonts w:ascii="Times New Roman" w:hAnsi="Times New Roman"/>
                <w:sz w:val="20"/>
              </w:rPr>
              <w:t>Monitoreo de KPIs en 4 perspectivas, auditoría de transacciones y gobernanza de accesos.</w:t>
            </w:r>
          </w:p>
        </w:tc>
        <w:tc>
          <w:tcPr>
            <w:tcW w:type="dxa" w:w="2154"/>
            <w:tcBorders>
              <w:top w:val="none"/>
              <w:bottom w:val="single" w:sz="8" w:space="0" w:color="000000"/>
              <w:left w:val="none"/>
              <w:right w:val="none"/>
            </w:tcBorders>
          </w:tcPr>
          <w:p>
            <w:pPr>
              <w:spacing w:before="60" w:after="60" w:line="276" w:lineRule="auto"/>
              <w:jc w:val="left"/>
            </w:pPr>
            <w:r>
              <w:rPr>
                <w:rFonts w:ascii="Times New Roman" w:hAnsi="Times New Roman"/>
                <w:sz w:val="20"/>
              </w:rPr>
              <w:t>Gerencia General, Socios y Dirección Contable.</w:t>
            </w:r>
          </w:p>
        </w:tc>
      </w:tr>
    </w:tbl>
    <w:p>
      <w:pPr>
        <w:spacing w:line="276" w:lineRule="auto" w:before="80" w:after="240"/>
      </w:pPr>
      <w:r>
        <w:rPr>
          <w:rFonts w:ascii="Times New Roman" w:hAnsi="Times New Roman"/>
          <w:i/>
          <w:sz w:val="20"/>
        </w:rPr>
        <w:t xml:space="preserve">Nota. </w:t>
      </w:r>
      <w:r>
        <w:rPr>
          <w:rFonts w:ascii="Times New Roman" w:hAnsi="Times New Roman"/>
          <w:sz w:val="20"/>
        </w:rPr>
        <w:t>Elaboración propia a partir del análisis funcional del portal corporativo.</w:t>
      </w:r>
    </w:p>
    <w:p>
      <w:pPr>
        <w:spacing w:line="480" w:lineRule="auto" w:before="240" w:after="80"/>
        <w:jc w:val="left"/>
      </w:pPr>
      <w:r>
        <w:rPr>
          <w:rFonts w:ascii="Times New Roman" w:hAnsi="Times New Roman"/>
          <w:b/>
          <w:sz w:val="24"/>
        </w:rPr>
        <w:t>3. Arquitectura Tecnológica y Modelo de Persistencia</w:t>
      </w:r>
    </w:p>
    <w:p>
      <w:pPr>
        <w:spacing w:line="480" w:lineRule="auto" w:before="0" w:after="0"/>
        <w:ind w:firstLine="720"/>
        <w:jc w:val="both"/>
      </w:pPr>
      <w:r>
        <w:rPr>
          <w:rFonts w:ascii="Times New Roman" w:hAnsi="Times New Roman"/>
          <w:sz w:val="24"/>
        </w:rPr>
        <w:t>El portal se implementa bajo una arquitectura desacoplada de tres capas (Three-Tier Architecture), asegurando alta disponibilidad, mantenibilidad, escalabilidad independiente y rigurosa separación de responsabilidades (Sommerville, 2021):</w:t>
      </w:r>
    </w:p>
    <w:p>
      <w:pPr>
        <w:spacing w:line="480" w:lineRule="auto" w:before="0" w:after="0"/>
        <w:ind w:firstLine="720"/>
        <w:jc w:val="both"/>
      </w:pPr>
      <w:r>
        <w:rPr>
          <w:rFonts w:ascii="Times New Roman" w:hAnsi="Times New Roman"/>
          <w:sz w:val="24"/>
        </w:rPr>
        <w:t>1. Capa de Presentación (Frontend): Construida con React 19 y TypeScript en el portal de clientes, complementada con vistas dinámicas en Express/EJS para la intranet administrativa. Se encuentra alojada y distribuida globalmente en la plataforma serverless Vercel Edge Network (`https://lushnails-db.vercel.app`), garantizando tiempos de respuesta ultrarrápidos y optimización SEO.</w:t>
      </w:r>
    </w:p>
    <w:p>
      <w:pPr>
        <w:spacing w:line="480" w:lineRule="auto" w:before="0" w:after="0"/>
        <w:ind w:firstLine="720"/>
        <w:jc w:val="both"/>
      </w:pPr>
      <w:r>
        <w:rPr>
          <w:rFonts w:ascii="Times New Roman" w:hAnsi="Times New Roman"/>
          <w:sz w:val="24"/>
        </w:rPr>
        <w:t>2. Capa de Lógica de Negocio y APIs (Backend): Desarrollada en Node.js con el framework Express. Expone una API REST modular con controladores específicos para autenticación, disponibilidad de empleados, citas, clientes y analítica. Gestiona sesiones persistentes y seguras a través de express-session respaldadas en la base de datos relacional.</w:t>
      </w:r>
    </w:p>
    <w:p>
      <w:pPr>
        <w:spacing w:line="480" w:lineRule="auto" w:before="0" w:after="0"/>
        <w:ind w:firstLine="720"/>
        <w:jc w:val="both"/>
      </w:pPr>
      <w:r>
        <w:rPr>
          <w:rFonts w:ascii="Times New Roman" w:hAnsi="Times New Roman"/>
          <w:sz w:val="24"/>
        </w:rPr>
        <w:t>3. Capa de Datos y Persistencia (Database): Utiliza PostgreSQL 16 alojado en la nube elástica de Neon (`aws-us-east-2`). El modelo está compuesto por 19 tablas relacionales normalizadas en Tercera Forma Normal (3NF), complementado con vistas financieras compiladas (`v_citas_completas`, `v_financiero`), procedimientos almacenados y triggers de actualización automática de auditoría (updated_at).</w:t>
      </w:r>
    </w:p>
    <w:p>
      <w:pPr>
        <w:spacing w:line="276" w:lineRule="auto" w:before="240" w:after="40"/>
      </w:pPr>
      <w:r>
        <w:rPr>
          <w:rFonts w:ascii="Times New Roman" w:hAnsi="Times New Roman"/>
          <w:b/>
          <w:sz w:val="24"/>
        </w:rPr>
        <w:t>Figura 1</w:t>
      </w:r>
    </w:p>
    <w:p>
      <w:pPr>
        <w:spacing w:line="276" w:lineRule="auto" w:before="0" w:after="120"/>
      </w:pPr>
      <w:r>
        <w:rPr>
          <w:rFonts w:ascii="Times New Roman" w:hAnsi="Times New Roman"/>
          <w:i/>
          <w:sz w:val="24"/>
        </w:rPr>
        <w:t>Arquitectura Multicapa del Portal Empresarial Lush Nails Spa S.A.</w:t>
      </w:r>
    </w:p>
    <w:p>
      <w:pPr>
        <w:spacing w:before="80" w:after="80"/>
        <w:jc w:val="center"/>
      </w:pPr>
      <w:r>
        <w:drawing>
          <wp:inline xmlns:a="http://schemas.openxmlformats.org/drawingml/2006/main" xmlns:pic="http://schemas.openxmlformats.org/drawingml/2006/picture">
            <wp:extent cx="5486400" cy="3200400"/>
            <wp:docPr id="1" name="Picture 1"/>
            <wp:cNvGraphicFramePr>
              <a:graphicFrameLocks noChangeAspect="1"/>
            </wp:cNvGraphicFramePr>
            <a:graphic>
              <a:graphicData uri="http://schemas.openxmlformats.org/drawingml/2006/picture">
                <pic:pic>
                  <pic:nvPicPr>
                    <pic:cNvPr id="0" name="figura1_arquitectura.png"/>
                    <pic:cNvPicPr/>
                  </pic:nvPicPr>
                  <pic:blipFill>
                    <a:blip r:embed="rId10"/>
                    <a:stretch>
                      <a:fillRect/>
                    </a:stretch>
                  </pic:blipFill>
                  <pic:spPr>
                    <a:xfrm>
                      <a:off x="0" y="0"/>
                      <a:ext cx="5486400" cy="3200400"/>
                    </a:xfrm>
                    <a:prstGeom prst="rect"/>
                  </pic:spPr>
                </pic:pic>
              </a:graphicData>
            </a:graphic>
          </wp:inline>
        </w:drawing>
      </w:r>
    </w:p>
    <w:p>
      <w:pPr>
        <w:spacing w:line="276" w:lineRule="auto" w:before="80" w:after="240"/>
      </w:pPr>
      <w:r>
        <w:rPr>
          <w:rFonts w:ascii="Times New Roman" w:hAnsi="Times New Roman"/>
          <w:i/>
          <w:sz w:val="20"/>
        </w:rPr>
        <w:t xml:space="preserve">Nota. </w:t>
      </w:r>
      <w:r>
        <w:rPr>
          <w:rFonts w:ascii="Times New Roman" w:hAnsi="Times New Roman"/>
          <w:sz w:val="20"/>
        </w:rPr>
        <w:t>Elaboración propia mediante modelado de capas de software (Frontend, Backend y Cloud Database).</w:t>
      </w:r>
    </w:p>
    <w:p>
      <w:pPr>
        <w:spacing w:line="480" w:lineRule="auto" w:before="240" w:after="80"/>
        <w:jc w:val="left"/>
      </w:pPr>
      <w:r>
        <w:rPr>
          <w:rFonts w:ascii="Times New Roman" w:hAnsi="Times New Roman"/>
          <w:b/>
          <w:sz w:val="24"/>
        </w:rPr>
        <w:t>4. Seguridad y Control de Acceso Basado en Roles (RBAC)</w:t>
      </w:r>
    </w:p>
    <w:p>
      <w:pPr>
        <w:spacing w:line="480" w:lineRule="auto" w:before="0" w:after="0"/>
        <w:ind w:firstLine="720"/>
        <w:jc w:val="both"/>
      </w:pPr>
      <w:r>
        <w:rPr>
          <w:rFonts w:ascii="Times New Roman" w:hAnsi="Times New Roman"/>
          <w:sz w:val="24"/>
        </w:rPr>
        <w:t>La seguridad del portal corporativo se estructura sobre un riguroso esquema de Control de Acceso Basado en Roles (RBAC). La tabla `usuario_admin` se vincula con la entidad `rol`, y esta a su vez se asocia de forma muchos a muchos con el catálogo de `permiso` a través de `rol_permiso`. Las contraseñas se almacenan mediante hashes criptográficos salados con el algoritmo unidireccional bcrypt (cost factor 10), impidiendo su recuperación en texto claro incluso en caso de exfiltración de la base de datos (Stallings, 2023).</w:t>
      </w:r>
    </w:p>
    <w:p>
      <w:pPr>
        <w:spacing w:line="276" w:lineRule="auto" w:before="240" w:after="40"/>
      </w:pPr>
      <w:r>
        <w:rPr>
          <w:rFonts w:ascii="Times New Roman" w:hAnsi="Times New Roman"/>
          <w:b/>
          <w:sz w:val="24"/>
        </w:rPr>
        <w:t>Tabla 2</w:t>
      </w:r>
    </w:p>
    <w:p>
      <w:pPr>
        <w:spacing w:line="276" w:lineRule="auto" w:before="0" w:after="120"/>
      </w:pPr>
      <w:r>
        <w:rPr>
          <w:rFonts w:ascii="Times New Roman" w:hAnsi="Times New Roman"/>
          <w:i/>
          <w:sz w:val="24"/>
        </w:rPr>
        <w:t>Matriz de Roles y Niveles de Autorización en el Portal</w:t>
      </w:r>
    </w:p>
    <w:tbl>
      <w:tblPr>
        <w:tblW w:type="auto" w:w="0"/>
        <w:jc w:val="center"/>
        <w:tblLook w:firstColumn="1" w:firstRow="1" w:lastColumn="0" w:lastRow="0" w:noHBand="0" w:noVBand="1" w:val="04A0"/>
      </w:tblPr>
      <w:tblGrid>
        <w:gridCol w:w="2340"/>
        <w:gridCol w:w="2340"/>
        <w:gridCol w:w="2340"/>
        <w:gridCol w:w="2340"/>
      </w:tblGrid>
      <w:tr>
        <w:tc>
          <w:tcPr>
            <w:tcW w:type="dxa" w:w="1701"/>
            <w:tcBorders>
              <w:top w:val="single" w:sz="8" w:space="0" w:color="000000"/>
              <w:bottom w:val="single" w:sz="8" w:space="0" w:color="000000"/>
              <w:left w:val="none"/>
              <w:right w:val="none"/>
            </w:tcBorders>
          </w:tcPr>
          <w:p>
            <w:pPr>
              <w:spacing w:before="80" w:after="80" w:line="276" w:lineRule="auto"/>
              <w:jc w:val="left"/>
            </w:pPr>
            <w:r>
              <w:rPr>
                <w:rFonts w:ascii="Times New Roman" w:hAnsi="Times New Roman"/>
                <w:b/>
                <w:sz w:val="20"/>
              </w:rPr>
              <w:t>Código de Rol</w:t>
            </w:r>
          </w:p>
        </w:tc>
        <w:tc>
          <w:tcPr>
            <w:tcW w:type="dxa" w:w="2154"/>
            <w:tcBorders>
              <w:top w:val="single" w:sz="8" w:space="0" w:color="000000"/>
              <w:bottom w:val="single" w:sz="8" w:space="0" w:color="000000"/>
              <w:left w:val="none"/>
              <w:right w:val="none"/>
            </w:tcBorders>
          </w:tcPr>
          <w:p>
            <w:pPr>
              <w:spacing w:before="80" w:after="80" w:line="276" w:lineRule="auto"/>
              <w:jc w:val="left"/>
            </w:pPr>
            <w:r>
              <w:rPr>
                <w:rFonts w:ascii="Times New Roman" w:hAnsi="Times New Roman"/>
                <w:b/>
                <w:sz w:val="20"/>
              </w:rPr>
              <w:t>Nombre del Rol</w:t>
            </w:r>
          </w:p>
        </w:tc>
        <w:tc>
          <w:tcPr>
            <w:tcW w:type="dxa" w:w="3515"/>
            <w:tcBorders>
              <w:top w:val="single" w:sz="8" w:space="0" w:color="000000"/>
              <w:bottom w:val="single" w:sz="8" w:space="0" w:color="000000"/>
              <w:left w:val="none"/>
              <w:right w:val="none"/>
            </w:tcBorders>
          </w:tcPr>
          <w:p>
            <w:pPr>
              <w:spacing w:before="80" w:after="80" w:line="276" w:lineRule="auto"/>
              <w:jc w:val="left"/>
            </w:pPr>
            <w:r>
              <w:rPr>
                <w:rFonts w:ascii="Times New Roman" w:hAnsi="Times New Roman"/>
                <w:b/>
                <w:sz w:val="20"/>
              </w:rPr>
              <w:t>Alcance de Permisos Autorizados</w:t>
            </w:r>
          </w:p>
        </w:tc>
        <w:tc>
          <w:tcPr>
            <w:tcW w:type="dxa" w:w="2268"/>
            <w:tcBorders>
              <w:top w:val="single" w:sz="8" w:space="0" w:color="000000"/>
              <w:bottom w:val="single" w:sz="8" w:space="0" w:color="000000"/>
              <w:left w:val="none"/>
              <w:right w:val="none"/>
            </w:tcBorders>
          </w:tcPr>
          <w:p>
            <w:pPr>
              <w:spacing w:before="80" w:after="80" w:line="276" w:lineRule="auto"/>
              <w:jc w:val="left"/>
            </w:pPr>
            <w:r>
              <w:rPr>
                <w:rFonts w:ascii="Times New Roman" w:hAnsi="Times New Roman"/>
                <w:b/>
                <w:sz w:val="20"/>
              </w:rPr>
              <w:t>Perfil Operativo</w:t>
            </w:r>
          </w:p>
        </w:tc>
      </w:tr>
      <w:tr>
        <w:tc>
          <w:tcPr>
            <w:tcW w:type="dxa" w:w="1701"/>
            <w:tcBorders>
              <w:top w:val="none"/>
              <w:bottom w:val="none"/>
              <w:left w:val="none"/>
              <w:right w:val="none"/>
            </w:tcBorders>
          </w:tcPr>
          <w:p>
            <w:pPr>
              <w:spacing w:before="60" w:after="60" w:line="276" w:lineRule="auto"/>
              <w:jc w:val="left"/>
            </w:pPr>
            <w:r>
              <w:rPr>
                <w:rFonts w:ascii="Times New Roman" w:hAnsi="Times New Roman"/>
                <w:sz w:val="20"/>
              </w:rPr>
              <w:t>superadmin</w:t>
            </w:r>
          </w:p>
        </w:tc>
        <w:tc>
          <w:tcPr>
            <w:tcW w:type="dxa" w:w="2154"/>
            <w:tcBorders>
              <w:top w:val="none"/>
              <w:bottom w:val="none"/>
              <w:left w:val="none"/>
              <w:right w:val="none"/>
            </w:tcBorders>
          </w:tcPr>
          <w:p>
            <w:pPr>
              <w:spacing w:before="60" w:after="60" w:line="276" w:lineRule="auto"/>
              <w:jc w:val="left"/>
            </w:pPr>
            <w:r>
              <w:rPr>
                <w:rFonts w:ascii="Times New Roman" w:hAnsi="Times New Roman"/>
                <w:sz w:val="20"/>
              </w:rPr>
              <w:t>Super Administrador</w:t>
            </w:r>
          </w:p>
        </w:tc>
        <w:tc>
          <w:tcPr>
            <w:tcW w:type="dxa" w:w="3515"/>
            <w:tcBorders>
              <w:top w:val="none"/>
              <w:bottom w:val="none"/>
              <w:left w:val="none"/>
              <w:right w:val="none"/>
            </w:tcBorders>
          </w:tcPr>
          <w:p>
            <w:pPr>
              <w:spacing w:before="60" w:after="60" w:line="276" w:lineRule="auto"/>
              <w:jc w:val="left"/>
            </w:pPr>
            <w:r>
              <w:rPr>
                <w:rFonts w:ascii="Times New Roman" w:hAnsi="Times New Roman"/>
                <w:sz w:val="20"/>
              </w:rPr>
              <w:t>Acceso irrestricto a los 16 permisos del sistema y gestión total de roles.</w:t>
            </w:r>
          </w:p>
        </w:tc>
        <w:tc>
          <w:tcPr>
            <w:tcW w:type="dxa" w:w="2268"/>
            <w:tcBorders>
              <w:top w:val="none"/>
              <w:bottom w:val="none"/>
              <w:left w:val="none"/>
              <w:right w:val="none"/>
            </w:tcBorders>
          </w:tcPr>
          <w:p>
            <w:pPr>
              <w:spacing w:before="60" w:after="60" w:line="276" w:lineRule="auto"/>
              <w:jc w:val="left"/>
            </w:pPr>
            <w:r>
              <w:rPr>
                <w:rFonts w:ascii="Times New Roman" w:hAnsi="Times New Roman"/>
                <w:sz w:val="20"/>
              </w:rPr>
              <w:t>Administrador General del Sistema / TI.</w:t>
            </w:r>
          </w:p>
        </w:tc>
      </w:tr>
      <w:tr>
        <w:tc>
          <w:tcPr>
            <w:tcW w:type="dxa" w:w="1701"/>
            <w:tcBorders>
              <w:top w:val="none"/>
              <w:bottom w:val="none"/>
              <w:left w:val="none"/>
              <w:right w:val="none"/>
            </w:tcBorders>
          </w:tcPr>
          <w:p>
            <w:pPr>
              <w:spacing w:before="60" w:after="60" w:line="276" w:lineRule="auto"/>
              <w:jc w:val="left"/>
            </w:pPr>
            <w:r>
              <w:rPr>
                <w:rFonts w:ascii="Times New Roman" w:hAnsi="Times New Roman"/>
                <w:sz w:val="20"/>
              </w:rPr>
              <w:t>admin</w:t>
            </w:r>
          </w:p>
        </w:tc>
        <w:tc>
          <w:tcPr>
            <w:tcW w:type="dxa" w:w="2154"/>
            <w:tcBorders>
              <w:top w:val="none"/>
              <w:bottom w:val="none"/>
              <w:left w:val="none"/>
              <w:right w:val="none"/>
            </w:tcBorders>
          </w:tcPr>
          <w:p>
            <w:pPr>
              <w:spacing w:before="60" w:after="60" w:line="276" w:lineRule="auto"/>
              <w:jc w:val="left"/>
            </w:pPr>
            <w:r>
              <w:rPr>
                <w:rFonts w:ascii="Times New Roman" w:hAnsi="Times New Roman"/>
                <w:sz w:val="20"/>
              </w:rPr>
              <w:t>Administrador de Sede</w:t>
            </w:r>
          </w:p>
        </w:tc>
        <w:tc>
          <w:tcPr>
            <w:tcW w:type="dxa" w:w="3515"/>
            <w:tcBorders>
              <w:top w:val="none"/>
              <w:bottom w:val="none"/>
              <w:left w:val="none"/>
              <w:right w:val="none"/>
            </w:tcBorders>
          </w:tcPr>
          <w:p>
            <w:pPr>
              <w:spacing w:before="60" w:after="60" w:line="276" w:lineRule="auto"/>
              <w:jc w:val="left"/>
            </w:pPr>
            <w:r>
              <w:rPr>
                <w:rFonts w:ascii="Times New Roman" w:hAnsi="Times New Roman"/>
                <w:sz w:val="20"/>
              </w:rPr>
              <w:t>Gestión operativa completa de citas, clientes, catálogo y personal de sede.</w:t>
            </w:r>
          </w:p>
        </w:tc>
        <w:tc>
          <w:tcPr>
            <w:tcW w:type="dxa" w:w="2268"/>
            <w:tcBorders>
              <w:top w:val="none"/>
              <w:bottom w:val="none"/>
              <w:left w:val="none"/>
              <w:right w:val="none"/>
            </w:tcBorders>
          </w:tcPr>
          <w:p>
            <w:pPr>
              <w:spacing w:before="60" w:after="60" w:line="276" w:lineRule="auto"/>
              <w:jc w:val="left"/>
            </w:pPr>
            <w:r>
              <w:rPr>
                <w:rFonts w:ascii="Times New Roman" w:hAnsi="Times New Roman"/>
                <w:sz w:val="20"/>
              </w:rPr>
              <w:t>Gerente de Sucursal.</w:t>
            </w:r>
          </w:p>
        </w:tc>
      </w:tr>
      <w:tr>
        <w:tc>
          <w:tcPr>
            <w:tcW w:type="dxa" w:w="1701"/>
            <w:tcBorders>
              <w:top w:val="none"/>
              <w:bottom w:val="none"/>
              <w:left w:val="none"/>
              <w:right w:val="none"/>
            </w:tcBorders>
          </w:tcPr>
          <w:p>
            <w:pPr>
              <w:spacing w:before="60" w:after="60" w:line="276" w:lineRule="auto"/>
              <w:jc w:val="left"/>
            </w:pPr>
            <w:r>
              <w:rPr>
                <w:rFonts w:ascii="Times New Roman" w:hAnsi="Times New Roman"/>
                <w:sz w:val="20"/>
              </w:rPr>
              <w:t>recepcionista</w:t>
            </w:r>
          </w:p>
        </w:tc>
        <w:tc>
          <w:tcPr>
            <w:tcW w:type="dxa" w:w="2154"/>
            <w:tcBorders>
              <w:top w:val="none"/>
              <w:bottom w:val="none"/>
              <w:left w:val="none"/>
              <w:right w:val="none"/>
            </w:tcBorders>
          </w:tcPr>
          <w:p>
            <w:pPr>
              <w:spacing w:before="60" w:after="60" w:line="276" w:lineRule="auto"/>
              <w:jc w:val="left"/>
            </w:pPr>
            <w:r>
              <w:rPr>
                <w:rFonts w:ascii="Times New Roman" w:hAnsi="Times New Roman"/>
                <w:sz w:val="20"/>
              </w:rPr>
              <w:t>Recepción y Agenda</w:t>
            </w:r>
          </w:p>
        </w:tc>
        <w:tc>
          <w:tcPr>
            <w:tcW w:type="dxa" w:w="3515"/>
            <w:tcBorders>
              <w:top w:val="none"/>
              <w:bottom w:val="none"/>
              <w:left w:val="none"/>
              <w:right w:val="none"/>
            </w:tcBorders>
          </w:tcPr>
          <w:p>
            <w:pPr>
              <w:spacing w:before="60" w:after="60" w:line="276" w:lineRule="auto"/>
              <w:jc w:val="left"/>
            </w:pPr>
            <w:r>
              <w:rPr>
                <w:rFonts w:ascii="Times New Roman" w:hAnsi="Times New Roman"/>
                <w:sz w:val="20"/>
              </w:rPr>
              <w:t>dashboard.ver, citas.gestionar, clientes.gestionar, historial.gestionar.</w:t>
            </w:r>
          </w:p>
        </w:tc>
        <w:tc>
          <w:tcPr>
            <w:tcW w:type="dxa" w:w="2268"/>
            <w:tcBorders>
              <w:top w:val="none"/>
              <w:bottom w:val="none"/>
              <w:left w:val="none"/>
              <w:right w:val="none"/>
            </w:tcBorders>
          </w:tcPr>
          <w:p>
            <w:pPr>
              <w:spacing w:before="60" w:after="60" w:line="276" w:lineRule="auto"/>
              <w:jc w:val="left"/>
            </w:pPr>
            <w:r>
              <w:rPr>
                <w:rFonts w:ascii="Times New Roman" w:hAnsi="Times New Roman"/>
                <w:sz w:val="20"/>
              </w:rPr>
              <w:t>Personal de Counter y Atención Telefónica.</w:t>
            </w:r>
          </w:p>
        </w:tc>
      </w:tr>
      <w:tr>
        <w:tc>
          <w:tcPr>
            <w:tcW w:type="dxa" w:w="1701"/>
            <w:tcBorders>
              <w:top w:val="none"/>
              <w:bottom w:val="none"/>
              <w:left w:val="none"/>
              <w:right w:val="none"/>
            </w:tcBorders>
          </w:tcPr>
          <w:p>
            <w:pPr>
              <w:spacing w:before="60" w:after="60" w:line="276" w:lineRule="auto"/>
              <w:jc w:val="left"/>
            </w:pPr>
            <w:r>
              <w:rPr>
                <w:rFonts w:ascii="Times New Roman" w:hAnsi="Times New Roman"/>
                <w:sz w:val="20"/>
              </w:rPr>
              <w:t>rrhh</w:t>
            </w:r>
          </w:p>
        </w:tc>
        <w:tc>
          <w:tcPr>
            <w:tcW w:type="dxa" w:w="2154"/>
            <w:tcBorders>
              <w:top w:val="none"/>
              <w:bottom w:val="none"/>
              <w:left w:val="none"/>
              <w:right w:val="none"/>
            </w:tcBorders>
          </w:tcPr>
          <w:p>
            <w:pPr>
              <w:spacing w:before="60" w:after="60" w:line="276" w:lineRule="auto"/>
              <w:jc w:val="left"/>
            </w:pPr>
            <w:r>
              <w:rPr>
                <w:rFonts w:ascii="Times New Roman" w:hAnsi="Times New Roman"/>
                <w:sz w:val="20"/>
              </w:rPr>
              <w:t>Recursos Humanos</w:t>
            </w:r>
          </w:p>
        </w:tc>
        <w:tc>
          <w:tcPr>
            <w:tcW w:type="dxa" w:w="3515"/>
            <w:tcBorders>
              <w:top w:val="none"/>
              <w:bottom w:val="none"/>
              <w:left w:val="none"/>
              <w:right w:val="none"/>
            </w:tcBorders>
          </w:tcPr>
          <w:p>
            <w:pPr>
              <w:spacing w:before="60" w:after="60" w:line="276" w:lineRule="auto"/>
              <w:jc w:val="left"/>
            </w:pPr>
            <w:r>
              <w:rPr>
                <w:rFonts w:ascii="Times New Roman" w:hAnsi="Times New Roman"/>
                <w:sz w:val="20"/>
              </w:rPr>
              <w:t>dashboard.ver, empleados.gestionar y postulaciones.gestionar.</w:t>
            </w:r>
          </w:p>
        </w:tc>
        <w:tc>
          <w:tcPr>
            <w:tcW w:type="dxa" w:w="2268"/>
            <w:tcBorders>
              <w:top w:val="none"/>
              <w:bottom w:val="none"/>
              <w:left w:val="none"/>
              <w:right w:val="none"/>
            </w:tcBorders>
          </w:tcPr>
          <w:p>
            <w:pPr>
              <w:spacing w:before="60" w:after="60" w:line="276" w:lineRule="auto"/>
              <w:jc w:val="left"/>
            </w:pPr>
            <w:r>
              <w:rPr>
                <w:rFonts w:ascii="Times New Roman" w:hAnsi="Times New Roman"/>
                <w:sz w:val="20"/>
              </w:rPr>
              <w:t>Coordinador de Personal y Selección.</w:t>
            </w:r>
          </w:p>
        </w:tc>
      </w:tr>
      <w:tr>
        <w:tc>
          <w:tcPr>
            <w:tcW w:type="dxa" w:w="1701"/>
            <w:tcBorders>
              <w:top w:val="none"/>
              <w:bottom w:val="none"/>
              <w:left w:val="none"/>
              <w:right w:val="none"/>
            </w:tcBorders>
          </w:tcPr>
          <w:p>
            <w:pPr>
              <w:spacing w:before="60" w:after="60" w:line="276" w:lineRule="auto"/>
              <w:jc w:val="left"/>
            </w:pPr>
            <w:r>
              <w:rPr>
                <w:rFonts w:ascii="Times New Roman" w:hAnsi="Times New Roman"/>
                <w:sz w:val="20"/>
              </w:rPr>
              <w:t>gerencia</w:t>
            </w:r>
          </w:p>
        </w:tc>
        <w:tc>
          <w:tcPr>
            <w:tcW w:type="dxa" w:w="2154"/>
            <w:tcBorders>
              <w:top w:val="none"/>
              <w:bottom w:val="none"/>
              <w:left w:val="none"/>
              <w:right w:val="none"/>
            </w:tcBorders>
          </w:tcPr>
          <w:p>
            <w:pPr>
              <w:spacing w:before="60" w:after="60" w:line="276" w:lineRule="auto"/>
              <w:jc w:val="left"/>
            </w:pPr>
            <w:r>
              <w:rPr>
                <w:rFonts w:ascii="Times New Roman" w:hAnsi="Times New Roman"/>
                <w:sz w:val="20"/>
              </w:rPr>
              <w:t>Gerencia y Dirección</w:t>
            </w:r>
          </w:p>
        </w:tc>
        <w:tc>
          <w:tcPr>
            <w:tcW w:type="dxa" w:w="3515"/>
            <w:tcBorders>
              <w:top w:val="none"/>
              <w:bottom w:val="none"/>
              <w:left w:val="none"/>
              <w:right w:val="none"/>
            </w:tcBorders>
          </w:tcPr>
          <w:p>
            <w:pPr>
              <w:spacing w:before="60" w:after="60" w:line="276" w:lineRule="auto"/>
              <w:jc w:val="left"/>
            </w:pPr>
            <w:r>
              <w:rPr>
                <w:rFonts w:ascii="Times New Roman" w:hAnsi="Times New Roman"/>
                <w:sz w:val="20"/>
              </w:rPr>
              <w:t>dashboard.ver, tablero.ver, bsc.ver e historial.ver (solo lectura analítica).</w:t>
            </w:r>
          </w:p>
        </w:tc>
        <w:tc>
          <w:tcPr>
            <w:tcW w:type="dxa" w:w="2268"/>
            <w:tcBorders>
              <w:top w:val="none"/>
              <w:bottom w:val="none"/>
              <w:left w:val="none"/>
              <w:right w:val="none"/>
            </w:tcBorders>
          </w:tcPr>
          <w:p>
            <w:pPr>
              <w:spacing w:before="60" w:after="60" w:line="276" w:lineRule="auto"/>
              <w:jc w:val="left"/>
            </w:pPr>
            <w:r>
              <w:rPr>
                <w:rFonts w:ascii="Times New Roman" w:hAnsi="Times New Roman"/>
                <w:sz w:val="20"/>
              </w:rPr>
              <w:t>Dirección General y Junta Directiva.</w:t>
            </w:r>
          </w:p>
        </w:tc>
      </w:tr>
      <w:tr>
        <w:tc>
          <w:tcPr>
            <w:tcW w:type="dxa" w:w="1701"/>
            <w:tcBorders>
              <w:top w:val="none"/>
              <w:bottom w:val="single" w:sz="8" w:space="0" w:color="000000"/>
              <w:left w:val="none"/>
              <w:right w:val="none"/>
            </w:tcBorders>
          </w:tcPr>
          <w:p>
            <w:pPr>
              <w:spacing w:before="60" w:after="60" w:line="276" w:lineRule="auto"/>
              <w:jc w:val="left"/>
            </w:pPr>
            <w:r>
              <w:rPr>
                <w:rFonts w:ascii="Times New Roman" w:hAnsi="Times New Roman"/>
                <w:sz w:val="20"/>
              </w:rPr>
              <w:t>contabilidad</w:t>
            </w:r>
          </w:p>
        </w:tc>
        <w:tc>
          <w:tcPr>
            <w:tcW w:type="dxa" w:w="2154"/>
            <w:tcBorders>
              <w:top w:val="none"/>
              <w:bottom w:val="single" w:sz="8" w:space="0" w:color="000000"/>
              <w:left w:val="none"/>
              <w:right w:val="none"/>
            </w:tcBorders>
          </w:tcPr>
          <w:p>
            <w:pPr>
              <w:spacing w:before="60" w:after="60" w:line="276" w:lineRule="auto"/>
              <w:jc w:val="left"/>
            </w:pPr>
            <w:r>
              <w:rPr>
                <w:rFonts w:ascii="Times New Roman" w:hAnsi="Times New Roman"/>
                <w:sz w:val="20"/>
              </w:rPr>
              <w:t>Contabilidad y Finanzas</w:t>
            </w:r>
          </w:p>
        </w:tc>
        <w:tc>
          <w:tcPr>
            <w:tcW w:type="dxa" w:w="3515"/>
            <w:tcBorders>
              <w:top w:val="none"/>
              <w:bottom w:val="single" w:sz="8" w:space="0" w:color="000000"/>
              <w:left w:val="none"/>
              <w:right w:val="none"/>
            </w:tcBorders>
          </w:tcPr>
          <w:p>
            <w:pPr>
              <w:spacing w:before="60" w:after="60" w:line="276" w:lineRule="auto"/>
              <w:jc w:val="left"/>
            </w:pPr>
            <w:r>
              <w:rPr>
                <w:rFonts w:ascii="Times New Roman" w:hAnsi="Times New Roman"/>
                <w:sz w:val="20"/>
              </w:rPr>
              <w:t>dashboard.ver, bsc.ver, tablero.ver e historial.ver de ingresos económicos.</w:t>
            </w:r>
          </w:p>
        </w:tc>
        <w:tc>
          <w:tcPr>
            <w:tcW w:type="dxa" w:w="2268"/>
            <w:tcBorders>
              <w:top w:val="none"/>
              <w:bottom w:val="single" w:sz="8" w:space="0" w:color="000000"/>
              <w:left w:val="none"/>
              <w:right w:val="none"/>
            </w:tcBorders>
          </w:tcPr>
          <w:p>
            <w:pPr>
              <w:spacing w:before="60" w:after="60" w:line="276" w:lineRule="auto"/>
              <w:jc w:val="left"/>
            </w:pPr>
            <w:r>
              <w:rPr>
                <w:rFonts w:ascii="Times New Roman" w:hAnsi="Times New Roman"/>
                <w:sz w:val="20"/>
              </w:rPr>
              <w:t>Auditoría Interna y Contabilidad.</w:t>
            </w:r>
          </w:p>
        </w:tc>
      </w:tr>
    </w:tbl>
    <w:p>
      <w:pPr>
        <w:spacing w:line="276" w:lineRule="auto" w:before="80" w:after="240"/>
      </w:pPr>
      <w:r>
        <w:rPr>
          <w:rFonts w:ascii="Times New Roman" w:hAnsi="Times New Roman"/>
          <w:i/>
          <w:sz w:val="20"/>
        </w:rPr>
        <w:t xml:space="preserve">Nota. </w:t>
      </w:r>
      <w:r>
        <w:rPr>
          <w:rFonts w:ascii="Times New Roman" w:hAnsi="Times New Roman"/>
          <w:sz w:val="20"/>
        </w:rPr>
        <w:t>Elaboración propia a partir del esquema de seguridad implementado en el backend del portal.</w:t>
      </w:r>
    </w:p>
    <w:p>
      <w:pPr>
        <w:spacing w:line="480" w:lineRule="auto" w:before="0" w:after="0"/>
        <w:ind w:firstLine="720"/>
        <w:jc w:val="both"/>
      </w:pPr>
      <w:r>
        <w:rPr>
          <w:rFonts w:ascii="Times New Roman" w:hAnsi="Times New Roman"/>
          <w:sz w:val="24"/>
        </w:rPr>
        <w:t>El flujo operativo de reserva y confirmación de citas en el portal se ilustra en la Figura 2. El cliente selecciona su servicio y sede en la interfaz web; el backend consulta dinámicamente la disponibilidad cruzando los turnos del personal en PostgreSQL; tras la confirmación, la recepcionista asigna especialista y cabina en la intranet, actualizando el tablero y generando métricas inmediatas en el sistema.</w:t>
      </w:r>
    </w:p>
    <w:p>
      <w:pPr>
        <w:spacing w:line="276" w:lineRule="auto" w:before="240" w:after="40"/>
      </w:pPr>
      <w:r>
        <w:rPr>
          <w:rFonts w:ascii="Times New Roman" w:hAnsi="Times New Roman"/>
          <w:b/>
          <w:sz w:val="24"/>
        </w:rPr>
        <w:t>Figura 2</w:t>
      </w:r>
    </w:p>
    <w:p>
      <w:pPr>
        <w:spacing w:line="276" w:lineRule="auto" w:before="0" w:after="120"/>
      </w:pPr>
      <w:r>
        <w:rPr>
          <w:rFonts w:ascii="Times New Roman" w:hAnsi="Times New Roman"/>
          <w:i/>
          <w:sz w:val="24"/>
        </w:rPr>
        <w:t>Diagrama de Flujo del Proceso de Reserva y Asignación de Citas en el Portal</w:t>
      </w:r>
    </w:p>
    <w:p>
      <w:pPr>
        <w:spacing w:before="80" w:after="80"/>
        <w:jc w:val="center"/>
      </w:pPr>
      <w:r>
        <w:drawing>
          <wp:inline xmlns:a="http://schemas.openxmlformats.org/drawingml/2006/main" xmlns:pic="http://schemas.openxmlformats.org/drawingml/2006/picture">
            <wp:extent cx="5486400" cy="1645920"/>
            <wp:docPr id="2" name="Picture 2"/>
            <wp:cNvGraphicFramePr>
              <a:graphicFrameLocks noChangeAspect="1"/>
            </wp:cNvGraphicFramePr>
            <a:graphic>
              <a:graphicData uri="http://schemas.openxmlformats.org/drawingml/2006/picture">
                <pic:pic>
                  <pic:nvPicPr>
                    <pic:cNvPr id="0" name="figura2_flujo_citas.png"/>
                    <pic:cNvPicPr/>
                  </pic:nvPicPr>
                  <pic:blipFill>
                    <a:blip r:embed="rId11"/>
                    <a:stretch>
                      <a:fillRect/>
                    </a:stretch>
                  </pic:blipFill>
                  <pic:spPr>
                    <a:xfrm>
                      <a:off x="0" y="0"/>
                      <a:ext cx="5486400" cy="1645920"/>
                    </a:xfrm>
                    <a:prstGeom prst="rect"/>
                  </pic:spPr>
                </pic:pic>
              </a:graphicData>
            </a:graphic>
          </wp:inline>
        </w:drawing>
      </w:r>
    </w:p>
    <w:p>
      <w:pPr>
        <w:spacing w:line="276" w:lineRule="auto" w:before="80" w:after="240"/>
      </w:pPr>
      <w:r>
        <w:rPr>
          <w:rFonts w:ascii="Times New Roman" w:hAnsi="Times New Roman"/>
          <w:i/>
          <w:sz w:val="20"/>
        </w:rPr>
        <w:t xml:space="preserve">Nota. </w:t>
      </w:r>
      <w:r>
        <w:rPr>
          <w:rFonts w:ascii="Times New Roman" w:hAnsi="Times New Roman"/>
          <w:sz w:val="20"/>
        </w:rPr>
        <w:t>Elaboración propia basada en el proceso de negocio y reservas del portal web.</w:t>
      </w:r>
    </w:p>
    <w:p>
      <w:pPr>
        <w:spacing w:line="480" w:lineRule="auto" w:before="240" w:after="80"/>
        <w:jc w:val="left"/>
      </w:pPr>
      <w:r>
        <w:rPr>
          <w:rFonts w:ascii="Times New Roman" w:hAnsi="Times New Roman"/>
          <w:b/>
          <w:sz w:val="24"/>
        </w:rPr>
        <w:t>5. Cuadro de Mando Integral (Balanced Scorecard - BSC)</w:t>
      </w:r>
    </w:p>
    <w:p>
      <w:pPr>
        <w:spacing w:line="480" w:lineRule="auto" w:before="0" w:after="0"/>
        <w:ind w:firstLine="720"/>
        <w:jc w:val="both"/>
      </w:pPr>
      <w:r>
        <w:rPr>
          <w:rFonts w:ascii="Times New Roman" w:hAnsi="Times New Roman"/>
          <w:sz w:val="24"/>
        </w:rPr>
        <w:t>Un portal empresarial trasciende la mera gestión transaccional cuando proporciona inteligencia de negocios para la toma de decisiones. El portal de Lush Nails Spa incorpora un módulo nativo de Balanced Scorecard (Kaplan &amp; Norton, 1996) que evalúa el desempeño del negocio a través de 4 perspectivas interdependientes:</w:t>
      </w:r>
    </w:p>
    <w:p>
      <w:pPr>
        <w:spacing w:line="276" w:lineRule="auto" w:before="240" w:after="40"/>
      </w:pPr>
      <w:r>
        <w:rPr>
          <w:rFonts w:ascii="Times New Roman" w:hAnsi="Times New Roman"/>
          <w:b/>
          <w:sz w:val="24"/>
        </w:rPr>
        <w:t>Figura 3</w:t>
      </w:r>
    </w:p>
    <w:p>
      <w:pPr>
        <w:spacing w:line="276" w:lineRule="auto" w:before="0" w:after="120"/>
      </w:pPr>
      <w:r>
        <w:rPr>
          <w:rFonts w:ascii="Times New Roman" w:hAnsi="Times New Roman"/>
          <w:i/>
          <w:sz w:val="24"/>
        </w:rPr>
        <w:t>Cuadro de Mando Integral (BSC) Implementado en el Portal Empresarial</w:t>
      </w:r>
    </w:p>
    <w:p>
      <w:pPr>
        <w:spacing w:before="80" w:after="80"/>
        <w:jc w:val="center"/>
      </w:pPr>
      <w:r>
        <w:drawing>
          <wp:inline xmlns:a="http://schemas.openxmlformats.org/drawingml/2006/main" xmlns:pic="http://schemas.openxmlformats.org/drawingml/2006/picture">
            <wp:extent cx="5303520" cy="2892829"/>
            <wp:docPr id="3" name="Picture 3"/>
            <wp:cNvGraphicFramePr>
              <a:graphicFrameLocks noChangeAspect="1"/>
            </wp:cNvGraphicFramePr>
            <a:graphic>
              <a:graphicData uri="http://schemas.openxmlformats.org/drawingml/2006/picture">
                <pic:pic>
                  <pic:nvPicPr>
                    <pic:cNvPr id="0" name="figura3_bsc.png"/>
                    <pic:cNvPicPr/>
                  </pic:nvPicPr>
                  <pic:blipFill>
                    <a:blip r:embed="rId12"/>
                    <a:stretch>
                      <a:fillRect/>
                    </a:stretch>
                  </pic:blipFill>
                  <pic:spPr>
                    <a:xfrm>
                      <a:off x="0" y="0"/>
                      <a:ext cx="5303520" cy="2892829"/>
                    </a:xfrm>
                    <a:prstGeom prst="rect"/>
                  </pic:spPr>
                </pic:pic>
              </a:graphicData>
            </a:graphic>
          </wp:inline>
        </w:drawing>
      </w:r>
    </w:p>
    <w:p>
      <w:pPr>
        <w:spacing w:line="276" w:lineRule="auto" w:before="80" w:after="240"/>
      </w:pPr>
      <w:r>
        <w:rPr>
          <w:rFonts w:ascii="Times New Roman" w:hAnsi="Times New Roman"/>
          <w:i/>
          <w:sz w:val="20"/>
        </w:rPr>
        <w:t xml:space="preserve">Nota. </w:t>
      </w:r>
      <w:r>
        <w:rPr>
          <w:rFonts w:ascii="Times New Roman" w:hAnsi="Times New Roman"/>
          <w:sz w:val="20"/>
        </w:rPr>
        <w:t>Elaboración propia con base en las cuatro perspectivas estratégicas de Kaplan y Norton (1996).</w:t>
      </w:r>
    </w:p>
    <w:p>
      <w:pPr>
        <w:spacing w:line="276" w:lineRule="auto" w:before="240" w:after="40"/>
      </w:pPr>
      <w:r>
        <w:rPr>
          <w:rFonts w:ascii="Times New Roman" w:hAnsi="Times New Roman"/>
          <w:b/>
          <w:sz w:val="24"/>
        </w:rPr>
        <w:t>Tabla 3</w:t>
      </w:r>
    </w:p>
    <w:p>
      <w:pPr>
        <w:spacing w:line="276" w:lineRule="auto" w:before="0" w:after="120"/>
      </w:pPr>
      <w:r>
        <w:rPr>
          <w:rFonts w:ascii="Times New Roman" w:hAnsi="Times New Roman"/>
          <w:i/>
          <w:sz w:val="24"/>
        </w:rPr>
        <w:t>Indicadores Clave de Desempeño (KPIs) del Balanced Scorecard</w:t>
      </w:r>
    </w:p>
    <w:tbl>
      <w:tblPr>
        <w:tblW w:type="auto" w:w="0"/>
        <w:jc w:val="center"/>
        <w:tblLook w:firstColumn="1" w:firstRow="1" w:lastColumn="0" w:lastRow="0" w:noHBand="0" w:noVBand="1" w:val="04A0"/>
      </w:tblPr>
      <w:tblGrid>
        <w:gridCol w:w="1872"/>
        <w:gridCol w:w="1872"/>
        <w:gridCol w:w="1872"/>
        <w:gridCol w:w="1872"/>
        <w:gridCol w:w="1872"/>
      </w:tblGrid>
      <w:tr>
        <w:tc>
          <w:tcPr>
            <w:tcW w:type="dxa" w:w="1814"/>
            <w:tcBorders>
              <w:top w:val="single" w:sz="8" w:space="0" w:color="000000"/>
              <w:bottom w:val="single" w:sz="8" w:space="0" w:color="000000"/>
              <w:left w:val="none"/>
              <w:right w:val="none"/>
            </w:tcBorders>
          </w:tcPr>
          <w:p>
            <w:pPr>
              <w:spacing w:before="80" w:after="80" w:line="276" w:lineRule="auto"/>
              <w:jc w:val="left"/>
            </w:pPr>
            <w:r>
              <w:rPr>
                <w:rFonts w:ascii="Times New Roman" w:hAnsi="Times New Roman"/>
                <w:b/>
                <w:sz w:val="20"/>
              </w:rPr>
              <w:t>Perspectiva</w:t>
            </w:r>
          </w:p>
        </w:tc>
        <w:tc>
          <w:tcPr>
            <w:tcW w:type="dxa" w:w="2268"/>
            <w:tcBorders>
              <w:top w:val="single" w:sz="8" w:space="0" w:color="000000"/>
              <w:bottom w:val="single" w:sz="8" w:space="0" w:color="000000"/>
              <w:left w:val="none"/>
              <w:right w:val="none"/>
            </w:tcBorders>
          </w:tcPr>
          <w:p>
            <w:pPr>
              <w:spacing w:before="80" w:after="80" w:line="276" w:lineRule="auto"/>
              <w:jc w:val="left"/>
            </w:pPr>
            <w:r>
              <w:rPr>
                <w:rFonts w:ascii="Times New Roman" w:hAnsi="Times New Roman"/>
                <w:b/>
                <w:sz w:val="20"/>
              </w:rPr>
              <w:t>Indicador Estratégico</w:t>
            </w:r>
          </w:p>
        </w:tc>
        <w:tc>
          <w:tcPr>
            <w:tcW w:type="dxa" w:w="2721"/>
            <w:tcBorders>
              <w:top w:val="single" w:sz="8" w:space="0" w:color="000000"/>
              <w:bottom w:val="single" w:sz="8" w:space="0" w:color="000000"/>
              <w:left w:val="none"/>
              <w:right w:val="none"/>
            </w:tcBorders>
          </w:tcPr>
          <w:p>
            <w:pPr>
              <w:spacing w:before="80" w:after="80" w:line="276" w:lineRule="auto"/>
              <w:jc w:val="left"/>
            </w:pPr>
            <w:r>
              <w:rPr>
                <w:rFonts w:ascii="Times New Roman" w:hAnsi="Times New Roman"/>
                <w:b/>
                <w:sz w:val="20"/>
              </w:rPr>
              <w:t>Fórmula de Cálculo</w:t>
            </w:r>
          </w:p>
        </w:tc>
        <w:tc>
          <w:tcPr>
            <w:tcW w:type="dxa" w:w="1417"/>
            <w:tcBorders>
              <w:top w:val="single" w:sz="8" w:space="0" w:color="000000"/>
              <w:bottom w:val="single" w:sz="8" w:space="0" w:color="000000"/>
              <w:left w:val="none"/>
              <w:right w:val="none"/>
            </w:tcBorders>
          </w:tcPr>
          <w:p>
            <w:pPr>
              <w:spacing w:before="80" w:after="80" w:line="276" w:lineRule="auto"/>
              <w:jc w:val="left"/>
            </w:pPr>
            <w:r>
              <w:rPr>
                <w:rFonts w:ascii="Times New Roman" w:hAnsi="Times New Roman"/>
                <w:b/>
                <w:sz w:val="20"/>
              </w:rPr>
              <w:t>Meta Definida</w:t>
            </w:r>
          </w:p>
        </w:tc>
        <w:tc>
          <w:tcPr>
            <w:tcW w:type="dxa" w:w="1984"/>
            <w:tcBorders>
              <w:top w:val="single" w:sz="8" w:space="0" w:color="000000"/>
              <w:bottom w:val="single" w:sz="8" w:space="0" w:color="000000"/>
              <w:left w:val="none"/>
              <w:right w:val="none"/>
            </w:tcBorders>
          </w:tcPr>
          <w:p>
            <w:pPr>
              <w:spacing w:before="80" w:after="80" w:line="276" w:lineRule="auto"/>
              <w:jc w:val="left"/>
            </w:pPr>
            <w:r>
              <w:rPr>
                <w:rFonts w:ascii="Times New Roman" w:hAnsi="Times New Roman"/>
                <w:b/>
                <w:sz w:val="20"/>
              </w:rPr>
              <w:t>Fuente de Datos</w:t>
            </w:r>
          </w:p>
        </w:tc>
      </w:tr>
      <w:tr>
        <w:tc>
          <w:tcPr>
            <w:tcW w:type="dxa" w:w="1814"/>
            <w:tcBorders>
              <w:top w:val="none"/>
              <w:bottom w:val="none"/>
              <w:left w:val="none"/>
              <w:right w:val="none"/>
            </w:tcBorders>
          </w:tcPr>
          <w:p>
            <w:pPr>
              <w:spacing w:before="60" w:after="60" w:line="276" w:lineRule="auto"/>
              <w:jc w:val="left"/>
            </w:pPr>
            <w:r>
              <w:rPr>
                <w:rFonts w:ascii="Times New Roman" w:hAnsi="Times New Roman"/>
                <w:sz w:val="20"/>
              </w:rPr>
              <w:t>Financiera</w:t>
            </w:r>
          </w:p>
        </w:tc>
        <w:tc>
          <w:tcPr>
            <w:tcW w:type="dxa" w:w="2268"/>
            <w:tcBorders>
              <w:top w:val="none"/>
              <w:bottom w:val="none"/>
              <w:left w:val="none"/>
              <w:right w:val="none"/>
            </w:tcBorders>
          </w:tcPr>
          <w:p>
            <w:pPr>
              <w:spacing w:before="60" w:after="60" w:line="276" w:lineRule="auto"/>
              <w:jc w:val="left"/>
            </w:pPr>
            <w:r>
              <w:rPr>
                <w:rFonts w:ascii="Times New Roman" w:hAnsi="Times New Roman"/>
                <w:sz w:val="20"/>
              </w:rPr>
              <w:t>Ingresos Mensuales Netos</w:t>
            </w:r>
          </w:p>
        </w:tc>
        <w:tc>
          <w:tcPr>
            <w:tcW w:type="dxa" w:w="2721"/>
            <w:tcBorders>
              <w:top w:val="none"/>
              <w:bottom w:val="none"/>
              <w:left w:val="none"/>
              <w:right w:val="none"/>
            </w:tcBorders>
          </w:tcPr>
          <w:p>
            <w:pPr>
              <w:spacing w:before="60" w:after="60" w:line="276" w:lineRule="auto"/>
              <w:jc w:val="left"/>
            </w:pPr>
            <w:r>
              <w:rPr>
                <w:rFonts w:ascii="Times New Roman" w:hAnsi="Times New Roman"/>
                <w:sz w:val="20"/>
              </w:rPr>
              <w:t>SUM(monto) en servicios completados en el mes</w:t>
            </w:r>
          </w:p>
        </w:tc>
        <w:tc>
          <w:tcPr>
            <w:tcW w:type="dxa" w:w="1417"/>
            <w:tcBorders>
              <w:top w:val="none"/>
              <w:bottom w:val="none"/>
              <w:left w:val="none"/>
              <w:right w:val="none"/>
            </w:tcBorders>
          </w:tcPr>
          <w:p>
            <w:pPr>
              <w:spacing w:before="60" w:after="60" w:line="276" w:lineRule="auto"/>
              <w:jc w:val="left"/>
            </w:pPr>
            <w:r>
              <w:rPr>
                <w:rFonts w:ascii="Times New Roman" w:hAnsi="Times New Roman"/>
                <w:sz w:val="20"/>
              </w:rPr>
              <w:t>&gt; $500 / mes</w:t>
            </w:r>
          </w:p>
        </w:tc>
        <w:tc>
          <w:tcPr>
            <w:tcW w:type="dxa" w:w="1984"/>
            <w:tcBorders>
              <w:top w:val="none"/>
              <w:bottom w:val="none"/>
              <w:left w:val="none"/>
              <w:right w:val="none"/>
            </w:tcBorders>
          </w:tcPr>
          <w:p>
            <w:pPr>
              <w:spacing w:before="60" w:after="60" w:line="276" w:lineRule="auto"/>
              <w:jc w:val="left"/>
            </w:pPr>
            <w:r>
              <w:rPr>
                <w:rFonts w:ascii="Times New Roman" w:hAnsi="Times New Roman"/>
                <w:sz w:val="20"/>
              </w:rPr>
              <w:t>Tabla servicio_realizado</w:t>
            </w:r>
          </w:p>
        </w:tc>
      </w:tr>
      <w:tr>
        <w:tc>
          <w:tcPr>
            <w:tcW w:type="dxa" w:w="1814"/>
            <w:tcBorders>
              <w:top w:val="none"/>
              <w:bottom w:val="none"/>
              <w:left w:val="none"/>
              <w:right w:val="none"/>
            </w:tcBorders>
          </w:tcPr>
          <w:p>
            <w:pPr>
              <w:spacing w:before="60" w:after="60" w:line="276" w:lineRule="auto"/>
              <w:jc w:val="left"/>
            </w:pPr>
            <w:r>
              <w:rPr>
                <w:rFonts w:ascii="Times New Roman" w:hAnsi="Times New Roman"/>
                <w:sz w:val="20"/>
              </w:rPr>
              <w:t>Financiera</w:t>
            </w:r>
          </w:p>
        </w:tc>
        <w:tc>
          <w:tcPr>
            <w:tcW w:type="dxa" w:w="2268"/>
            <w:tcBorders>
              <w:top w:val="none"/>
              <w:bottom w:val="none"/>
              <w:left w:val="none"/>
              <w:right w:val="none"/>
            </w:tcBorders>
          </w:tcPr>
          <w:p>
            <w:pPr>
              <w:spacing w:before="60" w:after="60" w:line="276" w:lineRule="auto"/>
              <w:jc w:val="left"/>
            </w:pPr>
            <w:r>
              <w:rPr>
                <w:rFonts w:ascii="Times New Roman" w:hAnsi="Times New Roman"/>
                <w:sz w:val="20"/>
              </w:rPr>
              <w:t>Ticket Promedio por Servicio</w:t>
            </w:r>
          </w:p>
        </w:tc>
        <w:tc>
          <w:tcPr>
            <w:tcW w:type="dxa" w:w="2721"/>
            <w:tcBorders>
              <w:top w:val="none"/>
              <w:bottom w:val="none"/>
              <w:left w:val="none"/>
              <w:right w:val="none"/>
            </w:tcBorders>
          </w:tcPr>
          <w:p>
            <w:pPr>
              <w:spacing w:before="60" w:after="60" w:line="276" w:lineRule="auto"/>
              <w:jc w:val="left"/>
            </w:pPr>
            <w:r>
              <w:rPr>
                <w:rFonts w:ascii="Times New Roman" w:hAnsi="Times New Roman"/>
                <w:sz w:val="20"/>
              </w:rPr>
              <w:t>AVG(monto) por servicio realizado</w:t>
            </w:r>
          </w:p>
        </w:tc>
        <w:tc>
          <w:tcPr>
            <w:tcW w:type="dxa" w:w="1417"/>
            <w:tcBorders>
              <w:top w:val="none"/>
              <w:bottom w:val="none"/>
              <w:left w:val="none"/>
              <w:right w:val="none"/>
            </w:tcBorders>
          </w:tcPr>
          <w:p>
            <w:pPr>
              <w:spacing w:before="60" w:after="60" w:line="276" w:lineRule="auto"/>
              <w:jc w:val="left"/>
            </w:pPr>
            <w:r>
              <w:rPr>
                <w:rFonts w:ascii="Times New Roman" w:hAnsi="Times New Roman"/>
                <w:sz w:val="20"/>
              </w:rPr>
              <w:t>&gt;= $40 / ticket</w:t>
            </w:r>
          </w:p>
        </w:tc>
        <w:tc>
          <w:tcPr>
            <w:tcW w:type="dxa" w:w="1984"/>
            <w:tcBorders>
              <w:top w:val="none"/>
              <w:bottom w:val="none"/>
              <w:left w:val="none"/>
              <w:right w:val="none"/>
            </w:tcBorders>
          </w:tcPr>
          <w:p>
            <w:pPr>
              <w:spacing w:before="60" w:after="60" w:line="276" w:lineRule="auto"/>
              <w:jc w:val="left"/>
            </w:pPr>
            <w:r>
              <w:rPr>
                <w:rFonts w:ascii="Times New Roman" w:hAnsi="Times New Roman"/>
                <w:sz w:val="20"/>
              </w:rPr>
              <w:t>Tabla servicio_realizado</w:t>
            </w:r>
          </w:p>
        </w:tc>
      </w:tr>
      <w:tr>
        <w:tc>
          <w:tcPr>
            <w:tcW w:type="dxa" w:w="1814"/>
            <w:tcBorders>
              <w:top w:val="none"/>
              <w:bottom w:val="none"/>
              <w:left w:val="none"/>
              <w:right w:val="none"/>
            </w:tcBorders>
          </w:tcPr>
          <w:p>
            <w:pPr>
              <w:spacing w:before="60" w:after="60" w:line="276" w:lineRule="auto"/>
              <w:jc w:val="left"/>
            </w:pPr>
            <w:r>
              <w:rPr>
                <w:rFonts w:ascii="Times New Roman" w:hAnsi="Times New Roman"/>
                <w:sz w:val="20"/>
              </w:rPr>
              <w:t>Financiera</w:t>
            </w:r>
          </w:p>
        </w:tc>
        <w:tc>
          <w:tcPr>
            <w:tcW w:type="dxa" w:w="2268"/>
            <w:tcBorders>
              <w:top w:val="none"/>
              <w:bottom w:val="none"/>
              <w:left w:val="none"/>
              <w:right w:val="none"/>
            </w:tcBorders>
          </w:tcPr>
          <w:p>
            <w:pPr>
              <w:spacing w:before="60" w:after="60" w:line="276" w:lineRule="auto"/>
              <w:jc w:val="left"/>
            </w:pPr>
            <w:r>
              <w:rPr>
                <w:rFonts w:ascii="Times New Roman" w:hAnsi="Times New Roman"/>
                <w:sz w:val="20"/>
              </w:rPr>
              <w:t>Sucursales Operativas Activas</w:t>
            </w:r>
          </w:p>
        </w:tc>
        <w:tc>
          <w:tcPr>
            <w:tcW w:type="dxa" w:w="2721"/>
            <w:tcBorders>
              <w:top w:val="none"/>
              <w:bottom w:val="none"/>
              <w:left w:val="none"/>
              <w:right w:val="none"/>
            </w:tcBorders>
          </w:tcPr>
          <w:p>
            <w:pPr>
              <w:spacing w:before="60" w:after="60" w:line="276" w:lineRule="auto"/>
              <w:jc w:val="left"/>
            </w:pPr>
            <w:r>
              <w:rPr>
                <w:rFonts w:ascii="Times New Roman" w:hAnsi="Times New Roman"/>
                <w:sz w:val="20"/>
              </w:rPr>
              <w:t>COUNT(sucursal) con estado activo = true</w:t>
            </w:r>
          </w:p>
        </w:tc>
        <w:tc>
          <w:tcPr>
            <w:tcW w:type="dxa" w:w="1417"/>
            <w:tcBorders>
              <w:top w:val="none"/>
              <w:bottom w:val="none"/>
              <w:left w:val="none"/>
              <w:right w:val="none"/>
            </w:tcBorders>
          </w:tcPr>
          <w:p>
            <w:pPr>
              <w:spacing w:before="60" w:after="60" w:line="276" w:lineRule="auto"/>
              <w:jc w:val="left"/>
            </w:pPr>
            <w:r>
              <w:rPr>
                <w:rFonts w:ascii="Times New Roman" w:hAnsi="Times New Roman"/>
                <w:sz w:val="20"/>
              </w:rPr>
              <w:t>&gt;= 3 sedes</w:t>
            </w:r>
          </w:p>
        </w:tc>
        <w:tc>
          <w:tcPr>
            <w:tcW w:type="dxa" w:w="1984"/>
            <w:tcBorders>
              <w:top w:val="none"/>
              <w:bottom w:val="none"/>
              <w:left w:val="none"/>
              <w:right w:val="none"/>
            </w:tcBorders>
          </w:tcPr>
          <w:p>
            <w:pPr>
              <w:spacing w:before="60" w:after="60" w:line="276" w:lineRule="auto"/>
              <w:jc w:val="left"/>
            </w:pPr>
            <w:r>
              <w:rPr>
                <w:rFonts w:ascii="Times New Roman" w:hAnsi="Times New Roman"/>
                <w:sz w:val="20"/>
              </w:rPr>
              <w:t>Tabla sucursal</w:t>
            </w:r>
          </w:p>
        </w:tc>
      </w:tr>
      <w:tr>
        <w:tc>
          <w:tcPr>
            <w:tcW w:type="dxa" w:w="1814"/>
            <w:tcBorders>
              <w:top w:val="none"/>
              <w:bottom w:val="none"/>
              <w:left w:val="none"/>
              <w:right w:val="none"/>
            </w:tcBorders>
          </w:tcPr>
          <w:p>
            <w:pPr>
              <w:spacing w:before="60" w:after="60" w:line="276" w:lineRule="auto"/>
              <w:jc w:val="left"/>
            </w:pPr>
            <w:r>
              <w:rPr>
                <w:rFonts w:ascii="Times New Roman" w:hAnsi="Times New Roman"/>
                <w:sz w:val="20"/>
              </w:rPr>
              <w:t>Clientes</w:t>
            </w:r>
          </w:p>
        </w:tc>
        <w:tc>
          <w:tcPr>
            <w:tcW w:type="dxa" w:w="2268"/>
            <w:tcBorders>
              <w:top w:val="none"/>
              <w:bottom w:val="none"/>
              <w:left w:val="none"/>
              <w:right w:val="none"/>
            </w:tcBorders>
          </w:tcPr>
          <w:p>
            <w:pPr>
              <w:spacing w:before="60" w:after="60" w:line="276" w:lineRule="auto"/>
              <w:jc w:val="left"/>
            </w:pPr>
            <w:r>
              <w:rPr>
                <w:rFonts w:ascii="Times New Roman" w:hAnsi="Times New Roman"/>
                <w:sz w:val="20"/>
              </w:rPr>
              <w:t>Citas Completadas con Éxito</w:t>
            </w:r>
          </w:p>
        </w:tc>
        <w:tc>
          <w:tcPr>
            <w:tcW w:type="dxa" w:w="2721"/>
            <w:tcBorders>
              <w:top w:val="none"/>
              <w:bottom w:val="none"/>
              <w:left w:val="none"/>
              <w:right w:val="none"/>
            </w:tcBorders>
          </w:tcPr>
          <w:p>
            <w:pPr>
              <w:spacing w:before="60" w:after="60" w:line="276" w:lineRule="auto"/>
              <w:jc w:val="left"/>
            </w:pPr>
            <w:r>
              <w:rPr>
                <w:rFonts w:ascii="Times New Roman" w:hAnsi="Times New Roman"/>
                <w:sz w:val="20"/>
              </w:rPr>
              <w:t>COUNT(cita) con estado = completada</w:t>
            </w:r>
          </w:p>
        </w:tc>
        <w:tc>
          <w:tcPr>
            <w:tcW w:type="dxa" w:w="1417"/>
            <w:tcBorders>
              <w:top w:val="none"/>
              <w:bottom w:val="none"/>
              <w:left w:val="none"/>
              <w:right w:val="none"/>
            </w:tcBorders>
          </w:tcPr>
          <w:p>
            <w:pPr>
              <w:spacing w:before="60" w:after="60" w:line="276" w:lineRule="auto"/>
              <w:jc w:val="left"/>
            </w:pPr>
            <w:r>
              <w:rPr>
                <w:rFonts w:ascii="Times New Roman" w:hAnsi="Times New Roman"/>
                <w:sz w:val="20"/>
              </w:rPr>
              <w:t>&gt;= 10 citas/mes</w:t>
            </w:r>
          </w:p>
        </w:tc>
        <w:tc>
          <w:tcPr>
            <w:tcW w:type="dxa" w:w="1984"/>
            <w:tcBorders>
              <w:top w:val="none"/>
              <w:bottom w:val="none"/>
              <w:left w:val="none"/>
              <w:right w:val="none"/>
            </w:tcBorders>
          </w:tcPr>
          <w:p>
            <w:pPr>
              <w:spacing w:before="60" w:after="60" w:line="276" w:lineRule="auto"/>
              <w:jc w:val="left"/>
            </w:pPr>
            <w:r>
              <w:rPr>
                <w:rFonts w:ascii="Times New Roman" w:hAnsi="Times New Roman"/>
                <w:sz w:val="20"/>
              </w:rPr>
              <w:t>Tabla cita</w:t>
            </w:r>
          </w:p>
        </w:tc>
      </w:tr>
      <w:tr>
        <w:tc>
          <w:tcPr>
            <w:tcW w:type="dxa" w:w="1814"/>
            <w:tcBorders>
              <w:top w:val="none"/>
              <w:bottom w:val="none"/>
              <w:left w:val="none"/>
              <w:right w:val="none"/>
            </w:tcBorders>
          </w:tcPr>
          <w:p>
            <w:pPr>
              <w:spacing w:before="60" w:after="60" w:line="276" w:lineRule="auto"/>
              <w:jc w:val="left"/>
            </w:pPr>
            <w:r>
              <w:rPr>
                <w:rFonts w:ascii="Times New Roman" w:hAnsi="Times New Roman"/>
                <w:sz w:val="20"/>
              </w:rPr>
              <w:t>Clientes</w:t>
            </w:r>
          </w:p>
        </w:tc>
        <w:tc>
          <w:tcPr>
            <w:tcW w:type="dxa" w:w="2268"/>
            <w:tcBorders>
              <w:top w:val="none"/>
              <w:bottom w:val="none"/>
              <w:left w:val="none"/>
              <w:right w:val="none"/>
            </w:tcBorders>
          </w:tcPr>
          <w:p>
            <w:pPr>
              <w:spacing w:before="60" w:after="60" w:line="276" w:lineRule="auto"/>
              <w:jc w:val="left"/>
            </w:pPr>
            <w:r>
              <w:rPr>
                <w:rFonts w:ascii="Times New Roman" w:hAnsi="Times New Roman"/>
                <w:sz w:val="20"/>
              </w:rPr>
              <w:t>Crecimiento de Nuevos Clientes</w:t>
            </w:r>
          </w:p>
        </w:tc>
        <w:tc>
          <w:tcPr>
            <w:tcW w:type="dxa" w:w="2721"/>
            <w:tcBorders>
              <w:top w:val="none"/>
              <w:bottom w:val="none"/>
              <w:left w:val="none"/>
              <w:right w:val="none"/>
            </w:tcBorders>
          </w:tcPr>
          <w:p>
            <w:pPr>
              <w:spacing w:before="60" w:after="60" w:line="276" w:lineRule="auto"/>
              <w:jc w:val="left"/>
            </w:pPr>
            <w:r>
              <w:rPr>
                <w:rFonts w:ascii="Times New Roman" w:hAnsi="Times New Roman"/>
                <w:sz w:val="20"/>
              </w:rPr>
              <w:t>COUNT(cliente) registrados en los últimos 30 días</w:t>
            </w:r>
          </w:p>
        </w:tc>
        <w:tc>
          <w:tcPr>
            <w:tcW w:type="dxa" w:w="1417"/>
            <w:tcBorders>
              <w:top w:val="none"/>
              <w:bottom w:val="none"/>
              <w:left w:val="none"/>
              <w:right w:val="none"/>
            </w:tcBorders>
          </w:tcPr>
          <w:p>
            <w:pPr>
              <w:spacing w:before="60" w:after="60" w:line="276" w:lineRule="auto"/>
              <w:jc w:val="left"/>
            </w:pPr>
            <w:r>
              <w:rPr>
                <w:rFonts w:ascii="Times New Roman" w:hAnsi="Times New Roman"/>
                <w:sz w:val="20"/>
              </w:rPr>
              <w:t>&gt;= 10 clientes</w:t>
            </w:r>
          </w:p>
        </w:tc>
        <w:tc>
          <w:tcPr>
            <w:tcW w:type="dxa" w:w="1984"/>
            <w:tcBorders>
              <w:top w:val="none"/>
              <w:bottom w:val="none"/>
              <w:left w:val="none"/>
              <w:right w:val="none"/>
            </w:tcBorders>
          </w:tcPr>
          <w:p>
            <w:pPr>
              <w:spacing w:before="60" w:after="60" w:line="276" w:lineRule="auto"/>
              <w:jc w:val="left"/>
            </w:pPr>
            <w:r>
              <w:rPr>
                <w:rFonts w:ascii="Times New Roman" w:hAnsi="Times New Roman"/>
                <w:sz w:val="20"/>
              </w:rPr>
              <w:t>Tabla cliente</w:t>
            </w:r>
          </w:p>
        </w:tc>
      </w:tr>
      <w:tr>
        <w:tc>
          <w:tcPr>
            <w:tcW w:type="dxa" w:w="1814"/>
            <w:tcBorders>
              <w:top w:val="none"/>
              <w:bottom w:val="none"/>
              <w:left w:val="none"/>
              <w:right w:val="none"/>
            </w:tcBorders>
          </w:tcPr>
          <w:p>
            <w:pPr>
              <w:spacing w:before="60" w:after="60" w:line="276" w:lineRule="auto"/>
              <w:jc w:val="left"/>
            </w:pPr>
            <w:r>
              <w:rPr>
                <w:rFonts w:ascii="Times New Roman" w:hAnsi="Times New Roman"/>
                <w:sz w:val="20"/>
              </w:rPr>
              <w:t>Procesos Internos</w:t>
            </w:r>
          </w:p>
        </w:tc>
        <w:tc>
          <w:tcPr>
            <w:tcW w:type="dxa" w:w="2268"/>
            <w:tcBorders>
              <w:top w:val="none"/>
              <w:bottom w:val="none"/>
              <w:left w:val="none"/>
              <w:right w:val="none"/>
            </w:tcBorders>
          </w:tcPr>
          <w:p>
            <w:pPr>
              <w:spacing w:before="60" w:after="60" w:line="276" w:lineRule="auto"/>
              <w:jc w:val="left"/>
            </w:pPr>
            <w:r>
              <w:rPr>
                <w:rFonts w:ascii="Times New Roman" w:hAnsi="Times New Roman"/>
                <w:sz w:val="20"/>
              </w:rPr>
              <w:t>Tasa de Cancelación de Citas</w:t>
            </w:r>
          </w:p>
        </w:tc>
        <w:tc>
          <w:tcPr>
            <w:tcW w:type="dxa" w:w="2721"/>
            <w:tcBorders>
              <w:top w:val="none"/>
              <w:bottom w:val="none"/>
              <w:left w:val="none"/>
              <w:right w:val="none"/>
            </w:tcBorders>
          </w:tcPr>
          <w:p>
            <w:pPr>
              <w:spacing w:before="60" w:after="60" w:line="276" w:lineRule="auto"/>
              <w:jc w:val="left"/>
            </w:pPr>
            <w:r>
              <w:rPr>
                <w:rFonts w:ascii="Times New Roman" w:hAnsi="Times New Roman"/>
                <w:sz w:val="20"/>
              </w:rPr>
              <w:t>COUNT(cita cancelada) / Total citas agendadas</w:t>
            </w:r>
          </w:p>
        </w:tc>
        <w:tc>
          <w:tcPr>
            <w:tcW w:type="dxa" w:w="1417"/>
            <w:tcBorders>
              <w:top w:val="none"/>
              <w:bottom w:val="none"/>
              <w:left w:val="none"/>
              <w:right w:val="none"/>
            </w:tcBorders>
          </w:tcPr>
          <w:p>
            <w:pPr>
              <w:spacing w:before="60" w:after="60" w:line="276" w:lineRule="auto"/>
              <w:jc w:val="left"/>
            </w:pPr>
            <w:r>
              <w:rPr>
                <w:rFonts w:ascii="Times New Roman" w:hAnsi="Times New Roman"/>
                <w:sz w:val="20"/>
              </w:rPr>
              <w:t>&lt;= 2 cancelaciones</w:t>
            </w:r>
          </w:p>
        </w:tc>
        <w:tc>
          <w:tcPr>
            <w:tcW w:type="dxa" w:w="1984"/>
            <w:tcBorders>
              <w:top w:val="none"/>
              <w:bottom w:val="none"/>
              <w:left w:val="none"/>
              <w:right w:val="none"/>
            </w:tcBorders>
          </w:tcPr>
          <w:p>
            <w:pPr>
              <w:spacing w:before="60" w:after="60" w:line="276" w:lineRule="auto"/>
              <w:jc w:val="left"/>
            </w:pPr>
            <w:r>
              <w:rPr>
                <w:rFonts w:ascii="Times New Roman" w:hAnsi="Times New Roman"/>
                <w:sz w:val="20"/>
              </w:rPr>
              <w:t>Tabla cita</w:t>
            </w:r>
          </w:p>
        </w:tc>
      </w:tr>
      <w:tr>
        <w:tc>
          <w:tcPr>
            <w:tcW w:type="dxa" w:w="1814"/>
            <w:tcBorders>
              <w:top w:val="none"/>
              <w:bottom w:val="none"/>
              <w:left w:val="none"/>
              <w:right w:val="none"/>
            </w:tcBorders>
          </w:tcPr>
          <w:p>
            <w:pPr>
              <w:spacing w:before="60" w:after="60" w:line="276" w:lineRule="auto"/>
              <w:jc w:val="left"/>
            </w:pPr>
            <w:r>
              <w:rPr>
                <w:rFonts w:ascii="Times New Roman" w:hAnsi="Times New Roman"/>
                <w:sz w:val="20"/>
              </w:rPr>
              <w:t>Procesos Internos</w:t>
            </w:r>
          </w:p>
        </w:tc>
        <w:tc>
          <w:tcPr>
            <w:tcW w:type="dxa" w:w="2268"/>
            <w:tcBorders>
              <w:top w:val="none"/>
              <w:bottom w:val="none"/>
              <w:left w:val="none"/>
              <w:right w:val="none"/>
            </w:tcBorders>
          </w:tcPr>
          <w:p>
            <w:pPr>
              <w:spacing w:before="60" w:after="60" w:line="276" w:lineRule="auto"/>
              <w:jc w:val="left"/>
            </w:pPr>
            <w:r>
              <w:rPr>
                <w:rFonts w:ascii="Times New Roman" w:hAnsi="Times New Roman"/>
                <w:sz w:val="20"/>
              </w:rPr>
              <w:t>Tiempo Promedio de Atención</w:t>
            </w:r>
          </w:p>
        </w:tc>
        <w:tc>
          <w:tcPr>
            <w:tcW w:type="dxa" w:w="2721"/>
            <w:tcBorders>
              <w:top w:val="none"/>
              <w:bottom w:val="none"/>
              <w:left w:val="none"/>
              <w:right w:val="none"/>
            </w:tcBorders>
          </w:tcPr>
          <w:p>
            <w:pPr>
              <w:spacing w:before="60" w:after="60" w:line="276" w:lineRule="auto"/>
              <w:jc w:val="left"/>
            </w:pPr>
            <w:r>
              <w:rPr>
                <w:rFonts w:ascii="Times New Roman" w:hAnsi="Times New Roman"/>
                <w:sz w:val="20"/>
              </w:rPr>
              <w:t>AVG(updated_at - created_at) en servicios cerrados</w:t>
            </w:r>
          </w:p>
        </w:tc>
        <w:tc>
          <w:tcPr>
            <w:tcW w:type="dxa" w:w="1417"/>
            <w:tcBorders>
              <w:top w:val="none"/>
              <w:bottom w:val="none"/>
              <w:left w:val="none"/>
              <w:right w:val="none"/>
            </w:tcBorders>
          </w:tcPr>
          <w:p>
            <w:pPr>
              <w:spacing w:before="60" w:after="60" w:line="276" w:lineRule="auto"/>
              <w:jc w:val="left"/>
            </w:pPr>
            <w:r>
              <w:rPr>
                <w:rFonts w:ascii="Times New Roman" w:hAnsi="Times New Roman"/>
                <w:sz w:val="20"/>
              </w:rPr>
              <w:t>&lt;= 60 minutos</w:t>
            </w:r>
          </w:p>
        </w:tc>
        <w:tc>
          <w:tcPr>
            <w:tcW w:type="dxa" w:w="1984"/>
            <w:tcBorders>
              <w:top w:val="none"/>
              <w:bottom w:val="none"/>
              <w:left w:val="none"/>
              <w:right w:val="none"/>
            </w:tcBorders>
          </w:tcPr>
          <w:p>
            <w:pPr>
              <w:spacing w:before="60" w:after="60" w:line="276" w:lineRule="auto"/>
              <w:jc w:val="left"/>
            </w:pPr>
            <w:r>
              <w:rPr>
                <w:rFonts w:ascii="Times New Roman" w:hAnsi="Times New Roman"/>
                <w:sz w:val="20"/>
              </w:rPr>
              <w:t>Tabla cita</w:t>
            </w:r>
          </w:p>
        </w:tc>
      </w:tr>
      <w:tr>
        <w:tc>
          <w:tcPr>
            <w:tcW w:type="dxa" w:w="1814"/>
            <w:tcBorders>
              <w:top w:val="none"/>
              <w:bottom w:val="single" w:sz="8" w:space="0" w:color="000000"/>
              <w:left w:val="none"/>
              <w:right w:val="none"/>
            </w:tcBorders>
          </w:tcPr>
          <w:p>
            <w:pPr>
              <w:spacing w:before="60" w:after="60" w:line="276" w:lineRule="auto"/>
              <w:jc w:val="left"/>
            </w:pPr>
            <w:r>
              <w:rPr>
                <w:rFonts w:ascii="Times New Roman" w:hAnsi="Times New Roman"/>
                <w:sz w:val="20"/>
              </w:rPr>
              <w:t>Talento / Aprendizaje</w:t>
            </w:r>
          </w:p>
        </w:tc>
        <w:tc>
          <w:tcPr>
            <w:tcW w:type="dxa" w:w="2268"/>
            <w:tcBorders>
              <w:top w:val="none"/>
              <w:bottom w:val="single" w:sz="8" w:space="0" w:color="000000"/>
              <w:left w:val="none"/>
              <w:right w:val="none"/>
            </w:tcBorders>
          </w:tcPr>
          <w:p>
            <w:pPr>
              <w:spacing w:before="60" w:after="60" w:line="276" w:lineRule="auto"/>
              <w:jc w:val="left"/>
            </w:pPr>
            <w:r>
              <w:rPr>
                <w:rFonts w:ascii="Times New Roman" w:hAnsi="Times New Roman"/>
                <w:sz w:val="20"/>
              </w:rPr>
              <w:t>Postulaciones Evaluadas</w:t>
            </w:r>
          </w:p>
        </w:tc>
        <w:tc>
          <w:tcPr>
            <w:tcW w:type="dxa" w:w="2721"/>
            <w:tcBorders>
              <w:top w:val="none"/>
              <w:bottom w:val="single" w:sz="8" w:space="0" w:color="000000"/>
              <w:left w:val="none"/>
              <w:right w:val="none"/>
            </w:tcBorders>
          </w:tcPr>
          <w:p>
            <w:pPr>
              <w:spacing w:before="60" w:after="60" w:line="276" w:lineRule="auto"/>
              <w:jc w:val="left"/>
            </w:pPr>
            <w:r>
              <w:rPr>
                <w:rFonts w:ascii="Times New Roman" w:hAnsi="Times New Roman"/>
                <w:sz w:val="20"/>
              </w:rPr>
              <w:t>COUNT(postulacion) revisadas por RRHH</w:t>
            </w:r>
          </w:p>
        </w:tc>
        <w:tc>
          <w:tcPr>
            <w:tcW w:type="dxa" w:w="1417"/>
            <w:tcBorders>
              <w:top w:val="none"/>
              <w:bottom w:val="single" w:sz="8" w:space="0" w:color="000000"/>
              <w:left w:val="none"/>
              <w:right w:val="none"/>
            </w:tcBorders>
          </w:tcPr>
          <w:p>
            <w:pPr>
              <w:spacing w:before="60" w:after="60" w:line="276" w:lineRule="auto"/>
              <w:jc w:val="left"/>
            </w:pPr>
            <w:r>
              <w:rPr>
                <w:rFonts w:ascii="Times New Roman" w:hAnsi="Times New Roman"/>
                <w:sz w:val="20"/>
              </w:rPr>
              <w:t>&gt;= 1 postulante</w:t>
            </w:r>
          </w:p>
        </w:tc>
        <w:tc>
          <w:tcPr>
            <w:tcW w:type="dxa" w:w="1984"/>
            <w:tcBorders>
              <w:top w:val="none"/>
              <w:bottom w:val="single" w:sz="8" w:space="0" w:color="000000"/>
              <w:left w:val="none"/>
              <w:right w:val="none"/>
            </w:tcBorders>
          </w:tcPr>
          <w:p>
            <w:pPr>
              <w:spacing w:before="60" w:after="60" w:line="276" w:lineRule="auto"/>
              <w:jc w:val="left"/>
            </w:pPr>
            <w:r>
              <w:rPr>
                <w:rFonts w:ascii="Times New Roman" w:hAnsi="Times New Roman"/>
                <w:sz w:val="20"/>
              </w:rPr>
              <w:t>Tabla postulacion</w:t>
            </w:r>
          </w:p>
        </w:tc>
      </w:tr>
    </w:tbl>
    <w:p>
      <w:pPr>
        <w:spacing w:line="276" w:lineRule="auto" w:before="80" w:after="240"/>
      </w:pPr>
      <w:r>
        <w:rPr>
          <w:rFonts w:ascii="Times New Roman" w:hAnsi="Times New Roman"/>
          <w:i/>
          <w:sz w:val="20"/>
        </w:rPr>
        <w:t xml:space="preserve">Nota. </w:t>
      </w:r>
      <w:r>
        <w:rPr>
          <w:rFonts w:ascii="Times New Roman" w:hAnsi="Times New Roman"/>
          <w:sz w:val="20"/>
        </w:rPr>
        <w:t>Elaboración propia a partir de las métricas configuradas en el tablero de control del portal.</w:t>
      </w:r>
    </w:p>
    <w:p>
      <w:pPr>
        <w:spacing w:line="480" w:lineRule="auto" w:before="240" w:after="80"/>
        <w:jc w:val="left"/>
      </w:pPr>
      <w:r>
        <w:rPr>
          <w:rFonts w:ascii="Times New Roman" w:hAnsi="Times New Roman"/>
          <w:b/>
          <w:sz w:val="24"/>
        </w:rPr>
        <w:t>6. Estimación Funcional y Planificación en ProjectLibre</w:t>
      </w:r>
    </w:p>
    <w:p>
      <w:pPr>
        <w:spacing w:line="480" w:lineRule="auto" w:before="0" w:after="0"/>
        <w:ind w:firstLine="720"/>
        <w:jc w:val="both"/>
      </w:pPr>
      <w:r>
        <w:rPr>
          <w:rFonts w:ascii="Times New Roman" w:hAnsi="Times New Roman"/>
          <w:sz w:val="24"/>
        </w:rPr>
        <w:t>Para cuantificar el esfuerzo y dimensionamiento del software de forma independiente del lenguaje de programación, se aplicó el método de Puntos de Función No Ajustados (PFNA) del International Function Point Users Group (IFPUG, 2022). La medición arrojó un total de 426 PFNA distribuidos en 29 Entradas Externas (EI), 12 Salidas Externas (EO), 15 Consultas Externas (EQ) y 19 Archivos Lógicos Internos (ILF).</w:t>
      </w:r>
    </w:p>
    <w:p>
      <w:pPr>
        <w:spacing w:line="276" w:lineRule="auto" w:before="240" w:after="40"/>
      </w:pPr>
      <w:r>
        <w:rPr>
          <w:rFonts w:ascii="Times New Roman" w:hAnsi="Times New Roman"/>
          <w:b/>
          <w:sz w:val="24"/>
        </w:rPr>
        <w:t>Tabla 4</w:t>
      </w:r>
    </w:p>
    <w:p>
      <w:pPr>
        <w:spacing w:line="276" w:lineRule="auto" w:before="0" w:after="120"/>
      </w:pPr>
      <w:r>
        <w:rPr>
          <w:rFonts w:ascii="Times New Roman" w:hAnsi="Times New Roman"/>
          <w:i/>
          <w:sz w:val="24"/>
        </w:rPr>
        <w:t>Estimación de Puntos de Función No Ajustados del Portal Empresarial</w:t>
      </w:r>
    </w:p>
    <w:tbl>
      <w:tblPr>
        <w:tblW w:type="auto" w:w="0"/>
        <w:jc w:val="center"/>
        <w:tblLook w:firstColumn="1" w:firstRow="1" w:lastColumn="0" w:lastRow="0" w:noHBand="0" w:noVBand="1" w:val="04A0"/>
      </w:tblPr>
      <w:tblGrid>
        <w:gridCol w:w="1872"/>
        <w:gridCol w:w="1872"/>
        <w:gridCol w:w="1872"/>
        <w:gridCol w:w="1872"/>
        <w:gridCol w:w="1872"/>
      </w:tblGrid>
      <w:tr>
        <w:tc>
          <w:tcPr>
            <w:tcW w:type="dxa" w:w="2154"/>
            <w:tcBorders>
              <w:top w:val="single" w:sz="8" w:space="0" w:color="000000"/>
              <w:bottom w:val="single" w:sz="8" w:space="0" w:color="000000"/>
              <w:left w:val="none"/>
              <w:right w:val="none"/>
            </w:tcBorders>
          </w:tcPr>
          <w:p>
            <w:pPr>
              <w:spacing w:before="80" w:after="80" w:line="276" w:lineRule="auto"/>
              <w:jc w:val="left"/>
            </w:pPr>
            <w:r>
              <w:rPr>
                <w:rFonts w:ascii="Times New Roman" w:hAnsi="Times New Roman"/>
                <w:b/>
                <w:sz w:val="20"/>
              </w:rPr>
              <w:t>Tipo de Componente Funcional</w:t>
            </w:r>
          </w:p>
        </w:tc>
        <w:tc>
          <w:tcPr>
            <w:tcW w:type="dxa" w:w="1020"/>
            <w:tcBorders>
              <w:top w:val="single" w:sz="8" w:space="0" w:color="000000"/>
              <w:bottom w:val="single" w:sz="8" w:space="0" w:color="000000"/>
              <w:left w:val="none"/>
              <w:right w:val="none"/>
            </w:tcBorders>
          </w:tcPr>
          <w:p>
            <w:pPr>
              <w:spacing w:before="80" w:after="80" w:line="276" w:lineRule="auto"/>
              <w:jc w:val="left"/>
            </w:pPr>
            <w:r>
              <w:rPr>
                <w:rFonts w:ascii="Times New Roman" w:hAnsi="Times New Roman"/>
                <w:b/>
                <w:sz w:val="20"/>
              </w:rPr>
              <w:t>Cantidad</w:t>
            </w:r>
          </w:p>
        </w:tc>
        <w:tc>
          <w:tcPr>
            <w:tcW w:type="dxa" w:w="1020"/>
            <w:tcBorders>
              <w:top w:val="single" w:sz="8" w:space="0" w:color="000000"/>
              <w:bottom w:val="single" w:sz="8" w:space="0" w:color="000000"/>
              <w:left w:val="none"/>
              <w:right w:val="none"/>
            </w:tcBorders>
          </w:tcPr>
          <w:p>
            <w:pPr>
              <w:spacing w:before="80" w:after="80" w:line="276" w:lineRule="auto"/>
              <w:jc w:val="left"/>
            </w:pPr>
            <w:r>
              <w:rPr>
                <w:rFonts w:ascii="Times New Roman" w:hAnsi="Times New Roman"/>
                <w:b/>
                <w:sz w:val="20"/>
              </w:rPr>
              <w:t>Peso Promedio</w:t>
            </w:r>
          </w:p>
        </w:tc>
        <w:tc>
          <w:tcPr>
            <w:tcW w:type="dxa" w:w="1247"/>
            <w:tcBorders>
              <w:top w:val="single" w:sz="8" w:space="0" w:color="000000"/>
              <w:bottom w:val="single" w:sz="8" w:space="0" w:color="000000"/>
              <w:left w:val="none"/>
              <w:right w:val="none"/>
            </w:tcBorders>
          </w:tcPr>
          <w:p>
            <w:pPr>
              <w:spacing w:before="80" w:after="80" w:line="276" w:lineRule="auto"/>
              <w:jc w:val="left"/>
            </w:pPr>
            <w:r>
              <w:rPr>
                <w:rFonts w:ascii="Times New Roman" w:hAnsi="Times New Roman"/>
                <w:b/>
                <w:sz w:val="20"/>
              </w:rPr>
              <w:t>Puntos de Función (PFNA)</w:t>
            </w:r>
          </w:p>
        </w:tc>
        <w:tc>
          <w:tcPr>
            <w:tcW w:type="dxa" w:w="3628"/>
            <w:tcBorders>
              <w:top w:val="single" w:sz="8" w:space="0" w:color="000000"/>
              <w:bottom w:val="single" w:sz="8" w:space="0" w:color="000000"/>
              <w:left w:val="none"/>
              <w:right w:val="none"/>
            </w:tcBorders>
          </w:tcPr>
          <w:p>
            <w:pPr>
              <w:spacing w:before="80" w:after="80" w:line="276" w:lineRule="auto"/>
              <w:jc w:val="left"/>
            </w:pPr>
            <w:r>
              <w:rPr>
                <w:rFonts w:ascii="Times New Roman" w:hAnsi="Times New Roman"/>
                <w:b/>
                <w:sz w:val="20"/>
              </w:rPr>
              <w:t>Descripción Funcional</w:t>
            </w:r>
          </w:p>
        </w:tc>
      </w:tr>
      <w:tr>
        <w:tc>
          <w:tcPr>
            <w:tcW w:type="dxa" w:w="2154"/>
            <w:tcBorders>
              <w:top w:val="none"/>
              <w:bottom w:val="none"/>
              <w:left w:val="none"/>
              <w:right w:val="none"/>
            </w:tcBorders>
          </w:tcPr>
          <w:p>
            <w:pPr>
              <w:spacing w:before="60" w:after="60" w:line="276" w:lineRule="auto"/>
              <w:jc w:val="left"/>
            </w:pPr>
            <w:r>
              <w:rPr>
                <w:rFonts w:ascii="Times New Roman" w:hAnsi="Times New Roman"/>
                <w:sz w:val="20"/>
              </w:rPr>
              <w:t>Entradas Externas (EI)</w:t>
            </w:r>
          </w:p>
        </w:tc>
        <w:tc>
          <w:tcPr>
            <w:tcW w:type="dxa" w:w="1020"/>
            <w:tcBorders>
              <w:top w:val="none"/>
              <w:bottom w:val="none"/>
              <w:left w:val="none"/>
              <w:right w:val="none"/>
            </w:tcBorders>
          </w:tcPr>
          <w:p>
            <w:pPr>
              <w:spacing w:before="60" w:after="60" w:line="276" w:lineRule="auto"/>
              <w:jc w:val="left"/>
            </w:pPr>
            <w:r>
              <w:rPr>
                <w:rFonts w:ascii="Times New Roman" w:hAnsi="Times New Roman"/>
                <w:sz w:val="20"/>
              </w:rPr>
              <w:t>29</w:t>
            </w:r>
          </w:p>
        </w:tc>
        <w:tc>
          <w:tcPr>
            <w:tcW w:type="dxa" w:w="1020"/>
            <w:tcBorders>
              <w:top w:val="none"/>
              <w:bottom w:val="none"/>
              <w:left w:val="none"/>
              <w:right w:val="none"/>
            </w:tcBorders>
          </w:tcPr>
          <w:p>
            <w:pPr>
              <w:spacing w:before="60" w:after="60" w:line="276" w:lineRule="auto"/>
              <w:jc w:val="left"/>
            </w:pPr>
            <w:r>
              <w:rPr>
                <w:rFonts w:ascii="Times New Roman" w:hAnsi="Times New Roman"/>
                <w:sz w:val="20"/>
              </w:rPr>
              <w:t>4</w:t>
            </w:r>
          </w:p>
        </w:tc>
        <w:tc>
          <w:tcPr>
            <w:tcW w:type="dxa" w:w="1247"/>
            <w:tcBorders>
              <w:top w:val="none"/>
              <w:bottom w:val="none"/>
              <w:left w:val="none"/>
              <w:right w:val="none"/>
            </w:tcBorders>
          </w:tcPr>
          <w:p>
            <w:pPr>
              <w:spacing w:before="60" w:after="60" w:line="276" w:lineRule="auto"/>
              <w:jc w:val="left"/>
            </w:pPr>
            <w:r>
              <w:rPr>
                <w:rFonts w:ascii="Times New Roman" w:hAnsi="Times New Roman"/>
                <w:sz w:val="20"/>
              </w:rPr>
              <w:t>116</w:t>
            </w:r>
          </w:p>
        </w:tc>
        <w:tc>
          <w:tcPr>
            <w:tcW w:type="dxa" w:w="3628"/>
            <w:tcBorders>
              <w:top w:val="none"/>
              <w:bottom w:val="none"/>
              <w:left w:val="none"/>
              <w:right w:val="none"/>
            </w:tcBorders>
          </w:tcPr>
          <w:p>
            <w:pPr>
              <w:spacing w:before="60" w:after="60" w:line="276" w:lineRule="auto"/>
              <w:jc w:val="left"/>
            </w:pPr>
            <w:r>
              <w:rPr>
                <w:rFonts w:ascii="Times New Roman" w:hAnsi="Times New Roman"/>
                <w:sz w:val="20"/>
              </w:rPr>
              <w:t>Formularios de autenticación, alta de citas, clientes, servicios y sedes.</w:t>
            </w:r>
          </w:p>
        </w:tc>
      </w:tr>
      <w:tr>
        <w:tc>
          <w:tcPr>
            <w:tcW w:type="dxa" w:w="2154"/>
            <w:tcBorders>
              <w:top w:val="none"/>
              <w:bottom w:val="none"/>
              <w:left w:val="none"/>
              <w:right w:val="none"/>
            </w:tcBorders>
          </w:tcPr>
          <w:p>
            <w:pPr>
              <w:spacing w:before="60" w:after="60" w:line="276" w:lineRule="auto"/>
              <w:jc w:val="left"/>
            </w:pPr>
            <w:r>
              <w:rPr>
                <w:rFonts w:ascii="Times New Roman" w:hAnsi="Times New Roman"/>
                <w:sz w:val="20"/>
              </w:rPr>
              <w:t>Salidas Externas (EO)</w:t>
            </w:r>
          </w:p>
        </w:tc>
        <w:tc>
          <w:tcPr>
            <w:tcW w:type="dxa" w:w="1020"/>
            <w:tcBorders>
              <w:top w:val="none"/>
              <w:bottom w:val="none"/>
              <w:left w:val="none"/>
              <w:right w:val="none"/>
            </w:tcBorders>
          </w:tcPr>
          <w:p>
            <w:pPr>
              <w:spacing w:before="60" w:after="60" w:line="276" w:lineRule="auto"/>
              <w:jc w:val="left"/>
            </w:pPr>
            <w:r>
              <w:rPr>
                <w:rFonts w:ascii="Times New Roman" w:hAnsi="Times New Roman"/>
                <w:sz w:val="20"/>
              </w:rPr>
              <w:t>12</w:t>
            </w:r>
          </w:p>
        </w:tc>
        <w:tc>
          <w:tcPr>
            <w:tcW w:type="dxa" w:w="1020"/>
            <w:tcBorders>
              <w:top w:val="none"/>
              <w:bottom w:val="none"/>
              <w:left w:val="none"/>
              <w:right w:val="none"/>
            </w:tcBorders>
          </w:tcPr>
          <w:p>
            <w:pPr>
              <w:spacing w:before="60" w:after="60" w:line="276" w:lineRule="auto"/>
              <w:jc w:val="left"/>
            </w:pPr>
            <w:r>
              <w:rPr>
                <w:rFonts w:ascii="Times New Roman" w:hAnsi="Times New Roman"/>
                <w:sz w:val="20"/>
              </w:rPr>
              <w:t>5</w:t>
            </w:r>
          </w:p>
        </w:tc>
        <w:tc>
          <w:tcPr>
            <w:tcW w:type="dxa" w:w="1247"/>
            <w:tcBorders>
              <w:top w:val="none"/>
              <w:bottom w:val="none"/>
              <w:left w:val="none"/>
              <w:right w:val="none"/>
            </w:tcBorders>
          </w:tcPr>
          <w:p>
            <w:pPr>
              <w:spacing w:before="60" w:after="60" w:line="276" w:lineRule="auto"/>
              <w:jc w:val="left"/>
            </w:pPr>
            <w:r>
              <w:rPr>
                <w:rFonts w:ascii="Times New Roman" w:hAnsi="Times New Roman"/>
                <w:sz w:val="20"/>
              </w:rPr>
              <w:t>60</w:t>
            </w:r>
          </w:p>
        </w:tc>
        <w:tc>
          <w:tcPr>
            <w:tcW w:type="dxa" w:w="3628"/>
            <w:tcBorders>
              <w:top w:val="none"/>
              <w:bottom w:val="none"/>
              <w:left w:val="none"/>
              <w:right w:val="none"/>
            </w:tcBorders>
          </w:tcPr>
          <w:p>
            <w:pPr>
              <w:spacing w:before="60" w:after="60" w:line="276" w:lineRule="auto"/>
              <w:jc w:val="left"/>
            </w:pPr>
            <w:r>
              <w:rPr>
                <w:rFonts w:ascii="Times New Roman" w:hAnsi="Times New Roman"/>
                <w:sz w:val="20"/>
              </w:rPr>
              <w:t>Tableros analíticos, vistas de BSC, reportes financieros y alertas de cupos.</w:t>
            </w:r>
          </w:p>
        </w:tc>
      </w:tr>
      <w:tr>
        <w:tc>
          <w:tcPr>
            <w:tcW w:type="dxa" w:w="2154"/>
            <w:tcBorders>
              <w:top w:val="none"/>
              <w:bottom w:val="none"/>
              <w:left w:val="none"/>
              <w:right w:val="none"/>
            </w:tcBorders>
          </w:tcPr>
          <w:p>
            <w:pPr>
              <w:spacing w:before="60" w:after="60" w:line="276" w:lineRule="auto"/>
              <w:jc w:val="left"/>
            </w:pPr>
            <w:r>
              <w:rPr>
                <w:rFonts w:ascii="Times New Roman" w:hAnsi="Times New Roman"/>
                <w:sz w:val="20"/>
              </w:rPr>
              <w:t>Consultas Externas (EQ)</w:t>
            </w:r>
          </w:p>
        </w:tc>
        <w:tc>
          <w:tcPr>
            <w:tcW w:type="dxa" w:w="1020"/>
            <w:tcBorders>
              <w:top w:val="none"/>
              <w:bottom w:val="none"/>
              <w:left w:val="none"/>
              <w:right w:val="none"/>
            </w:tcBorders>
          </w:tcPr>
          <w:p>
            <w:pPr>
              <w:spacing w:before="60" w:after="60" w:line="276" w:lineRule="auto"/>
              <w:jc w:val="left"/>
            </w:pPr>
            <w:r>
              <w:rPr>
                <w:rFonts w:ascii="Times New Roman" w:hAnsi="Times New Roman"/>
                <w:sz w:val="20"/>
              </w:rPr>
              <w:t>15</w:t>
            </w:r>
          </w:p>
        </w:tc>
        <w:tc>
          <w:tcPr>
            <w:tcW w:type="dxa" w:w="1020"/>
            <w:tcBorders>
              <w:top w:val="none"/>
              <w:bottom w:val="none"/>
              <w:left w:val="none"/>
              <w:right w:val="none"/>
            </w:tcBorders>
          </w:tcPr>
          <w:p>
            <w:pPr>
              <w:spacing w:before="60" w:after="60" w:line="276" w:lineRule="auto"/>
              <w:jc w:val="left"/>
            </w:pPr>
            <w:r>
              <w:rPr>
                <w:rFonts w:ascii="Times New Roman" w:hAnsi="Times New Roman"/>
                <w:sz w:val="20"/>
              </w:rPr>
              <w:t>4</w:t>
            </w:r>
          </w:p>
        </w:tc>
        <w:tc>
          <w:tcPr>
            <w:tcW w:type="dxa" w:w="1247"/>
            <w:tcBorders>
              <w:top w:val="none"/>
              <w:bottom w:val="none"/>
              <w:left w:val="none"/>
              <w:right w:val="none"/>
            </w:tcBorders>
          </w:tcPr>
          <w:p>
            <w:pPr>
              <w:spacing w:before="60" w:after="60" w:line="276" w:lineRule="auto"/>
              <w:jc w:val="left"/>
            </w:pPr>
            <w:r>
              <w:rPr>
                <w:rFonts w:ascii="Times New Roman" w:hAnsi="Times New Roman"/>
                <w:sz w:val="20"/>
              </w:rPr>
              <w:t>60</w:t>
            </w:r>
          </w:p>
        </w:tc>
        <w:tc>
          <w:tcPr>
            <w:tcW w:type="dxa" w:w="3628"/>
            <w:tcBorders>
              <w:top w:val="none"/>
              <w:bottom w:val="none"/>
              <w:left w:val="none"/>
              <w:right w:val="none"/>
            </w:tcBorders>
          </w:tcPr>
          <w:p>
            <w:pPr>
              <w:spacing w:before="60" w:after="60" w:line="276" w:lineRule="auto"/>
              <w:jc w:val="left"/>
            </w:pPr>
            <w:r>
              <w:rPr>
                <w:rFonts w:ascii="Times New Roman" w:hAnsi="Times New Roman"/>
                <w:sz w:val="20"/>
              </w:rPr>
              <w:t>Búsquedas de catálogo, verificación de horarios y filtrado de citas.</w:t>
            </w:r>
          </w:p>
        </w:tc>
      </w:tr>
      <w:tr>
        <w:tc>
          <w:tcPr>
            <w:tcW w:type="dxa" w:w="2154"/>
            <w:tcBorders>
              <w:top w:val="none"/>
              <w:bottom w:val="none"/>
              <w:left w:val="none"/>
              <w:right w:val="none"/>
            </w:tcBorders>
          </w:tcPr>
          <w:p>
            <w:pPr>
              <w:spacing w:before="60" w:after="60" w:line="276" w:lineRule="auto"/>
              <w:jc w:val="left"/>
            </w:pPr>
            <w:r>
              <w:rPr>
                <w:rFonts w:ascii="Times New Roman" w:hAnsi="Times New Roman"/>
                <w:sz w:val="20"/>
              </w:rPr>
              <w:t>Archivos Lógicos Internos (ILF)</w:t>
            </w:r>
          </w:p>
        </w:tc>
        <w:tc>
          <w:tcPr>
            <w:tcW w:type="dxa" w:w="1020"/>
            <w:tcBorders>
              <w:top w:val="none"/>
              <w:bottom w:val="none"/>
              <w:left w:val="none"/>
              <w:right w:val="none"/>
            </w:tcBorders>
          </w:tcPr>
          <w:p>
            <w:pPr>
              <w:spacing w:before="60" w:after="60" w:line="276" w:lineRule="auto"/>
              <w:jc w:val="left"/>
            </w:pPr>
            <w:r>
              <w:rPr>
                <w:rFonts w:ascii="Times New Roman" w:hAnsi="Times New Roman"/>
                <w:sz w:val="20"/>
              </w:rPr>
              <w:t>19</w:t>
            </w:r>
          </w:p>
        </w:tc>
        <w:tc>
          <w:tcPr>
            <w:tcW w:type="dxa" w:w="1020"/>
            <w:tcBorders>
              <w:top w:val="none"/>
              <w:bottom w:val="none"/>
              <w:left w:val="none"/>
              <w:right w:val="none"/>
            </w:tcBorders>
          </w:tcPr>
          <w:p>
            <w:pPr>
              <w:spacing w:before="60" w:after="60" w:line="276" w:lineRule="auto"/>
              <w:jc w:val="left"/>
            </w:pPr>
            <w:r>
              <w:rPr>
                <w:rFonts w:ascii="Times New Roman" w:hAnsi="Times New Roman"/>
                <w:sz w:val="20"/>
              </w:rPr>
              <w:t>10</w:t>
            </w:r>
          </w:p>
        </w:tc>
        <w:tc>
          <w:tcPr>
            <w:tcW w:type="dxa" w:w="1247"/>
            <w:tcBorders>
              <w:top w:val="none"/>
              <w:bottom w:val="none"/>
              <w:left w:val="none"/>
              <w:right w:val="none"/>
            </w:tcBorders>
          </w:tcPr>
          <w:p>
            <w:pPr>
              <w:spacing w:before="60" w:after="60" w:line="276" w:lineRule="auto"/>
              <w:jc w:val="left"/>
            </w:pPr>
            <w:r>
              <w:rPr>
                <w:rFonts w:ascii="Times New Roman" w:hAnsi="Times New Roman"/>
                <w:sz w:val="20"/>
              </w:rPr>
              <w:t>190</w:t>
            </w:r>
          </w:p>
        </w:tc>
        <w:tc>
          <w:tcPr>
            <w:tcW w:type="dxa" w:w="3628"/>
            <w:tcBorders>
              <w:top w:val="none"/>
              <w:bottom w:val="none"/>
              <w:left w:val="none"/>
              <w:right w:val="none"/>
            </w:tcBorders>
          </w:tcPr>
          <w:p>
            <w:pPr>
              <w:spacing w:before="60" w:after="60" w:line="276" w:lineRule="auto"/>
              <w:jc w:val="left"/>
            </w:pPr>
            <w:r>
              <w:rPr>
                <w:rFonts w:ascii="Times New Roman" w:hAnsi="Times New Roman"/>
                <w:sz w:val="20"/>
              </w:rPr>
              <w:t>Entidades de base de datos relacional mantenidas por la aplicación.</w:t>
            </w:r>
          </w:p>
        </w:tc>
      </w:tr>
      <w:tr>
        <w:tc>
          <w:tcPr>
            <w:tcW w:type="dxa" w:w="2154"/>
            <w:tcBorders>
              <w:top w:val="none"/>
              <w:bottom w:val="none"/>
              <w:left w:val="none"/>
              <w:right w:val="none"/>
            </w:tcBorders>
          </w:tcPr>
          <w:p>
            <w:pPr>
              <w:spacing w:before="60" w:after="60" w:line="276" w:lineRule="auto"/>
              <w:jc w:val="left"/>
            </w:pPr>
            <w:r>
              <w:rPr>
                <w:rFonts w:ascii="Times New Roman" w:hAnsi="Times New Roman"/>
                <w:sz w:val="20"/>
              </w:rPr>
              <w:t>Archivos de Interfaz Externa (EIF)</w:t>
            </w:r>
          </w:p>
        </w:tc>
        <w:tc>
          <w:tcPr>
            <w:tcW w:type="dxa" w:w="1020"/>
            <w:tcBorders>
              <w:top w:val="none"/>
              <w:bottom w:val="none"/>
              <w:left w:val="none"/>
              <w:right w:val="none"/>
            </w:tcBorders>
          </w:tcPr>
          <w:p>
            <w:pPr>
              <w:spacing w:before="60" w:after="60" w:line="276" w:lineRule="auto"/>
              <w:jc w:val="left"/>
            </w:pPr>
            <w:r>
              <w:rPr>
                <w:rFonts w:ascii="Times New Roman" w:hAnsi="Times New Roman"/>
                <w:sz w:val="20"/>
              </w:rPr>
              <w:t>0</w:t>
            </w:r>
          </w:p>
        </w:tc>
        <w:tc>
          <w:tcPr>
            <w:tcW w:type="dxa" w:w="1020"/>
            <w:tcBorders>
              <w:top w:val="none"/>
              <w:bottom w:val="none"/>
              <w:left w:val="none"/>
              <w:right w:val="none"/>
            </w:tcBorders>
          </w:tcPr>
          <w:p>
            <w:pPr>
              <w:spacing w:before="60" w:after="60" w:line="276" w:lineRule="auto"/>
              <w:jc w:val="left"/>
            </w:pPr>
            <w:r>
              <w:rPr>
                <w:rFonts w:ascii="Times New Roman" w:hAnsi="Times New Roman"/>
                <w:sz w:val="20"/>
              </w:rPr>
              <w:t>7</w:t>
            </w:r>
          </w:p>
        </w:tc>
        <w:tc>
          <w:tcPr>
            <w:tcW w:type="dxa" w:w="1247"/>
            <w:tcBorders>
              <w:top w:val="none"/>
              <w:bottom w:val="none"/>
              <w:left w:val="none"/>
              <w:right w:val="none"/>
            </w:tcBorders>
          </w:tcPr>
          <w:p>
            <w:pPr>
              <w:spacing w:before="60" w:after="60" w:line="276" w:lineRule="auto"/>
              <w:jc w:val="left"/>
            </w:pPr>
            <w:r>
              <w:rPr>
                <w:rFonts w:ascii="Times New Roman" w:hAnsi="Times New Roman"/>
                <w:sz w:val="20"/>
              </w:rPr>
              <w:t>0</w:t>
            </w:r>
          </w:p>
        </w:tc>
        <w:tc>
          <w:tcPr>
            <w:tcW w:type="dxa" w:w="3628"/>
            <w:tcBorders>
              <w:top w:val="none"/>
              <w:bottom w:val="none"/>
              <w:left w:val="none"/>
              <w:right w:val="none"/>
            </w:tcBorders>
          </w:tcPr>
          <w:p>
            <w:pPr>
              <w:spacing w:before="60" w:after="60" w:line="276" w:lineRule="auto"/>
              <w:jc w:val="left"/>
            </w:pPr>
            <w:r>
              <w:rPr>
                <w:rFonts w:ascii="Times New Roman" w:hAnsi="Times New Roman"/>
                <w:sz w:val="20"/>
              </w:rPr>
              <w:t>No consume bases de datos transaccionales externas directas.</w:t>
            </w:r>
          </w:p>
        </w:tc>
      </w:tr>
      <w:tr>
        <w:tc>
          <w:tcPr>
            <w:tcW w:type="dxa" w:w="2154"/>
            <w:tcBorders>
              <w:top w:val="none"/>
              <w:bottom w:val="single" w:sz="8" w:space="0" w:color="000000"/>
              <w:left w:val="none"/>
              <w:right w:val="none"/>
            </w:tcBorders>
          </w:tcPr>
          <w:p>
            <w:pPr>
              <w:spacing w:before="60" w:after="60" w:line="276" w:lineRule="auto"/>
              <w:jc w:val="left"/>
            </w:pPr>
            <w:r>
              <w:rPr>
                <w:rFonts w:ascii="Times New Roman" w:hAnsi="Times New Roman"/>
                <w:sz w:val="20"/>
              </w:rPr>
              <w:t>Total Funcional</w:t>
            </w:r>
          </w:p>
        </w:tc>
        <w:tc>
          <w:tcPr>
            <w:tcW w:type="dxa" w:w="1020"/>
            <w:tcBorders>
              <w:top w:val="none"/>
              <w:bottom w:val="single" w:sz="8" w:space="0" w:color="000000"/>
              <w:left w:val="none"/>
              <w:right w:val="none"/>
            </w:tcBorders>
          </w:tcPr>
          <w:p>
            <w:pPr>
              <w:spacing w:before="60" w:after="60" w:line="276" w:lineRule="auto"/>
              <w:jc w:val="left"/>
            </w:pPr>
            <w:r>
              <w:rPr>
                <w:rFonts w:ascii="Times New Roman" w:hAnsi="Times New Roman"/>
                <w:sz w:val="20"/>
              </w:rPr>
              <w:t>-</w:t>
            </w:r>
          </w:p>
        </w:tc>
        <w:tc>
          <w:tcPr>
            <w:tcW w:type="dxa" w:w="1020"/>
            <w:tcBorders>
              <w:top w:val="none"/>
              <w:bottom w:val="single" w:sz="8" w:space="0" w:color="000000"/>
              <w:left w:val="none"/>
              <w:right w:val="none"/>
            </w:tcBorders>
          </w:tcPr>
          <w:p>
            <w:pPr>
              <w:spacing w:before="60" w:after="60" w:line="276" w:lineRule="auto"/>
              <w:jc w:val="left"/>
            </w:pPr>
            <w:r>
              <w:rPr>
                <w:rFonts w:ascii="Times New Roman" w:hAnsi="Times New Roman"/>
                <w:sz w:val="20"/>
              </w:rPr>
              <w:t>-</w:t>
            </w:r>
          </w:p>
        </w:tc>
        <w:tc>
          <w:tcPr>
            <w:tcW w:type="dxa" w:w="1247"/>
            <w:tcBorders>
              <w:top w:val="none"/>
              <w:bottom w:val="single" w:sz="8" w:space="0" w:color="000000"/>
              <w:left w:val="none"/>
              <w:right w:val="none"/>
            </w:tcBorders>
          </w:tcPr>
          <w:p>
            <w:pPr>
              <w:spacing w:before="60" w:after="60" w:line="276" w:lineRule="auto"/>
              <w:jc w:val="left"/>
            </w:pPr>
            <w:r>
              <w:rPr>
                <w:rFonts w:ascii="Times New Roman" w:hAnsi="Times New Roman"/>
                <w:sz w:val="20"/>
              </w:rPr>
              <w:t>426</w:t>
            </w:r>
          </w:p>
        </w:tc>
        <w:tc>
          <w:tcPr>
            <w:tcW w:type="dxa" w:w="3628"/>
            <w:tcBorders>
              <w:top w:val="none"/>
              <w:bottom w:val="single" w:sz="8" w:space="0" w:color="000000"/>
              <w:left w:val="none"/>
              <w:right w:val="none"/>
            </w:tcBorders>
          </w:tcPr>
          <w:p>
            <w:pPr>
              <w:spacing w:before="60" w:after="60" w:line="276" w:lineRule="auto"/>
              <w:jc w:val="left"/>
            </w:pPr>
            <w:r>
              <w:rPr>
                <w:rFonts w:ascii="Times New Roman" w:hAnsi="Times New Roman"/>
                <w:sz w:val="20"/>
              </w:rPr>
              <w:t>Total Puntos de Función No Ajustados (IFPUG).</w:t>
            </w:r>
          </w:p>
        </w:tc>
      </w:tr>
    </w:tbl>
    <w:p>
      <w:pPr>
        <w:spacing w:line="276" w:lineRule="auto" w:before="80" w:after="240"/>
      </w:pPr>
      <w:r>
        <w:rPr>
          <w:rFonts w:ascii="Times New Roman" w:hAnsi="Times New Roman"/>
          <w:i/>
          <w:sz w:val="20"/>
        </w:rPr>
        <w:t xml:space="preserve">Nota. </w:t>
      </w:r>
      <w:r>
        <w:rPr>
          <w:rFonts w:ascii="Times New Roman" w:hAnsi="Times New Roman"/>
          <w:sz w:val="20"/>
        </w:rPr>
        <w:t>Elaboración propia bajo metodología estándar IFPUG (2022).</w:t>
      </w:r>
    </w:p>
    <w:p>
      <w:pPr>
        <w:spacing w:line="480" w:lineRule="auto" w:before="0" w:after="0"/>
        <w:ind w:firstLine="720"/>
        <w:jc w:val="both"/>
      </w:pPr>
      <w:r>
        <w:rPr>
          <w:rFonts w:ascii="Times New Roman" w:hAnsi="Times New Roman"/>
          <w:sz w:val="24"/>
        </w:rPr>
        <w:t>La gestión y planificación del desarrollo del portal se modeló formalmente en ProjectLibre, estructurando el proyecto en 4 paquetes de trabajo con dependencias Fin-Comienzo (FS): Base de Datos relacional, Panel Administrativo (Backend/RBAC), Sitio Corporativo (Frontend) y Aseguramiento de la Calidad y Pruebas Integrales. A continuación, se presentan las evidencias de planificación obtenidas del software:</w:t>
      </w:r>
    </w:p>
    <w:p>
      <w:pPr>
        <w:spacing w:line="276" w:lineRule="auto" w:before="240" w:after="40"/>
      </w:pPr>
      <w:r>
        <w:rPr>
          <w:rFonts w:ascii="Times New Roman" w:hAnsi="Times New Roman"/>
          <w:b/>
          <w:sz w:val="24"/>
        </w:rPr>
        <w:t>Figura 4</w:t>
      </w:r>
    </w:p>
    <w:p>
      <w:pPr>
        <w:spacing w:line="276" w:lineRule="auto" w:before="0" w:after="120"/>
      </w:pPr>
      <w:r>
        <w:rPr>
          <w:rFonts w:ascii="Times New Roman" w:hAnsi="Times New Roman"/>
          <w:i/>
          <w:sz w:val="24"/>
        </w:rPr>
        <w:t>Estructura de Descomposición del Trabajo (EDT/WBS) del Portal en ProjectLibre</w:t>
      </w:r>
    </w:p>
    <w:p>
      <w:pPr>
        <w:spacing w:before="80" w:after="80"/>
        <w:jc w:val="center"/>
      </w:pPr>
      <w:r>
        <w:drawing>
          <wp:inline xmlns:a="http://schemas.openxmlformats.org/drawingml/2006/main" xmlns:pic="http://schemas.openxmlformats.org/drawingml/2006/picture">
            <wp:extent cx="5303520" cy="2103875"/>
            <wp:docPr id="4" name="Picture 4"/>
            <wp:cNvGraphicFramePr>
              <a:graphicFrameLocks noChangeAspect="1"/>
            </wp:cNvGraphicFramePr>
            <a:graphic>
              <a:graphicData uri="http://schemas.openxmlformats.org/drawingml/2006/picture">
                <pic:pic>
                  <pic:nvPicPr>
                    <pic:cNvPr id="0" name="03_estructura_tareas.png"/>
                    <pic:cNvPicPr/>
                  </pic:nvPicPr>
                  <pic:blipFill>
                    <a:blip r:embed="rId13"/>
                    <a:stretch>
                      <a:fillRect/>
                    </a:stretch>
                  </pic:blipFill>
                  <pic:spPr>
                    <a:xfrm>
                      <a:off x="0" y="0"/>
                      <a:ext cx="5303520" cy="2103875"/>
                    </a:xfrm>
                    <a:prstGeom prst="rect"/>
                  </pic:spPr>
                </pic:pic>
              </a:graphicData>
            </a:graphic>
          </wp:inline>
        </w:drawing>
      </w:r>
    </w:p>
    <w:p>
      <w:pPr>
        <w:spacing w:line="276" w:lineRule="auto" w:before="80" w:after="240"/>
      </w:pPr>
      <w:r>
        <w:rPr>
          <w:rFonts w:ascii="Times New Roman" w:hAnsi="Times New Roman"/>
          <w:i/>
          <w:sz w:val="20"/>
        </w:rPr>
        <w:t xml:space="preserve">Nota. </w:t>
      </w:r>
      <w:r>
        <w:rPr>
          <w:rFonts w:ascii="Times New Roman" w:hAnsi="Times New Roman"/>
          <w:sz w:val="20"/>
        </w:rPr>
        <w:t>Captura directa de la jerarquía de tareas del portal en ProjectLibre.</w:t>
      </w:r>
    </w:p>
    <w:p>
      <w:pPr>
        <w:spacing w:line="276" w:lineRule="auto" w:before="240" w:after="40"/>
      </w:pPr>
      <w:r>
        <w:rPr>
          <w:rFonts w:ascii="Times New Roman" w:hAnsi="Times New Roman"/>
          <w:b/>
          <w:sz w:val="24"/>
        </w:rPr>
        <w:t>Figura 5</w:t>
      </w:r>
    </w:p>
    <w:p>
      <w:pPr>
        <w:spacing w:line="276" w:lineRule="auto" w:before="0" w:after="120"/>
      </w:pPr>
      <w:r>
        <w:rPr>
          <w:rFonts w:ascii="Times New Roman" w:hAnsi="Times New Roman"/>
          <w:i/>
          <w:sz w:val="24"/>
        </w:rPr>
        <w:t>Diagrama de Gantt del Cronograma de Implementación del Portal Empresarial</w:t>
      </w:r>
    </w:p>
    <w:p>
      <w:pPr>
        <w:spacing w:before="80" w:after="80"/>
        <w:jc w:val="center"/>
      </w:pPr>
      <w:r>
        <w:drawing>
          <wp:inline xmlns:a="http://schemas.openxmlformats.org/drawingml/2006/main" xmlns:pic="http://schemas.openxmlformats.org/drawingml/2006/picture">
            <wp:extent cx="5303520" cy="4499956"/>
            <wp:docPr id="5" name="Picture 5"/>
            <wp:cNvGraphicFramePr>
              <a:graphicFrameLocks noChangeAspect="1"/>
            </wp:cNvGraphicFramePr>
            <a:graphic>
              <a:graphicData uri="http://schemas.openxmlformats.org/drawingml/2006/picture">
                <pic:pic>
                  <pic:nvPicPr>
                    <pic:cNvPr id="0" name="07_gantt.png"/>
                    <pic:cNvPicPr/>
                  </pic:nvPicPr>
                  <pic:blipFill>
                    <a:blip r:embed="rId14"/>
                    <a:stretch>
                      <a:fillRect/>
                    </a:stretch>
                  </pic:blipFill>
                  <pic:spPr>
                    <a:xfrm>
                      <a:off x="0" y="0"/>
                      <a:ext cx="5303520" cy="4499956"/>
                    </a:xfrm>
                    <a:prstGeom prst="rect"/>
                  </pic:spPr>
                </pic:pic>
              </a:graphicData>
            </a:graphic>
          </wp:inline>
        </w:drawing>
      </w:r>
    </w:p>
    <w:p>
      <w:pPr>
        <w:spacing w:line="276" w:lineRule="auto" w:before="80" w:after="240"/>
      </w:pPr>
      <w:r>
        <w:rPr>
          <w:rFonts w:ascii="Times New Roman" w:hAnsi="Times New Roman"/>
          <w:i/>
          <w:sz w:val="20"/>
        </w:rPr>
        <w:t xml:space="preserve">Nota. </w:t>
      </w:r>
      <w:r>
        <w:rPr>
          <w:rFonts w:ascii="Times New Roman" w:hAnsi="Times New Roman"/>
          <w:sz w:val="20"/>
        </w:rPr>
        <w:t>Cronograma temporal de 17 días hábiles de desarrollo modelado en ProjectLibre.</w:t>
      </w:r>
    </w:p>
    <w:p>
      <w:pPr>
        <w:spacing w:line="276" w:lineRule="auto" w:before="240" w:after="40"/>
      </w:pPr>
      <w:r>
        <w:rPr>
          <w:rFonts w:ascii="Times New Roman" w:hAnsi="Times New Roman"/>
          <w:b/>
          <w:sz w:val="24"/>
        </w:rPr>
        <w:t>Figura 6</w:t>
      </w:r>
    </w:p>
    <w:p>
      <w:pPr>
        <w:spacing w:line="276" w:lineRule="auto" w:before="0" w:after="120"/>
      </w:pPr>
      <w:r>
        <w:rPr>
          <w:rFonts w:ascii="Times New Roman" w:hAnsi="Times New Roman"/>
          <w:i/>
          <w:sz w:val="24"/>
        </w:rPr>
        <w:t>Red de Actividades, Holguras y Ruta Crítica del Proyecto</w:t>
      </w:r>
    </w:p>
    <w:p>
      <w:pPr>
        <w:spacing w:before="80" w:after="80"/>
        <w:jc w:val="center"/>
      </w:pPr>
      <w:r>
        <w:drawing>
          <wp:inline xmlns:a="http://schemas.openxmlformats.org/drawingml/2006/main" xmlns:pic="http://schemas.openxmlformats.org/drawingml/2006/picture">
            <wp:extent cx="5303520" cy="2499797"/>
            <wp:docPr id="6" name="Picture 6"/>
            <wp:cNvGraphicFramePr>
              <a:graphicFrameLocks noChangeAspect="1"/>
            </wp:cNvGraphicFramePr>
            <a:graphic>
              <a:graphicData uri="http://schemas.openxmlformats.org/drawingml/2006/picture">
                <pic:pic>
                  <pic:nvPicPr>
                    <pic:cNvPr id="0" name="08_ruta_critica.png"/>
                    <pic:cNvPicPr/>
                  </pic:nvPicPr>
                  <pic:blipFill>
                    <a:blip r:embed="rId15"/>
                    <a:stretch>
                      <a:fillRect/>
                    </a:stretch>
                  </pic:blipFill>
                  <pic:spPr>
                    <a:xfrm>
                      <a:off x="0" y="0"/>
                      <a:ext cx="5303520" cy="2499797"/>
                    </a:xfrm>
                    <a:prstGeom prst="rect"/>
                  </pic:spPr>
                </pic:pic>
              </a:graphicData>
            </a:graphic>
          </wp:inline>
        </w:drawing>
      </w:r>
    </w:p>
    <w:p>
      <w:pPr>
        <w:spacing w:line="276" w:lineRule="auto" w:before="80" w:after="240"/>
      </w:pPr>
      <w:r>
        <w:rPr>
          <w:rFonts w:ascii="Times New Roman" w:hAnsi="Times New Roman"/>
          <w:i/>
          <w:sz w:val="20"/>
        </w:rPr>
        <w:t xml:space="preserve">Nota. </w:t>
      </w:r>
      <w:r>
        <w:rPr>
          <w:rFonts w:ascii="Times New Roman" w:hAnsi="Times New Roman"/>
          <w:sz w:val="20"/>
        </w:rPr>
        <w:t>Identificación de tareas críticas en rojo que determinan la fecha de entrega del software.</w:t>
      </w:r>
    </w:p>
    <w:p>
      <w:pPr>
        <w:spacing w:line="276" w:lineRule="auto" w:before="240" w:after="40"/>
      </w:pPr>
      <w:r>
        <w:rPr>
          <w:rFonts w:ascii="Times New Roman" w:hAnsi="Times New Roman"/>
          <w:b/>
          <w:sz w:val="24"/>
        </w:rPr>
        <w:t>Figura 7</w:t>
      </w:r>
    </w:p>
    <w:p>
      <w:pPr>
        <w:spacing w:line="276" w:lineRule="auto" w:before="0" w:after="120"/>
      </w:pPr>
      <w:r>
        <w:rPr>
          <w:rFonts w:ascii="Times New Roman" w:hAnsi="Times New Roman"/>
          <w:i/>
          <w:sz w:val="24"/>
        </w:rPr>
        <w:t>Distribución Presupuestaria y Asignación de Costos por Recurso</w:t>
      </w:r>
    </w:p>
    <w:p>
      <w:pPr>
        <w:spacing w:before="80" w:after="80"/>
        <w:jc w:val="center"/>
      </w:pPr>
      <w:r>
        <w:drawing>
          <wp:inline xmlns:a="http://schemas.openxmlformats.org/drawingml/2006/main" xmlns:pic="http://schemas.openxmlformats.org/drawingml/2006/picture">
            <wp:extent cx="5303520" cy="2396466"/>
            <wp:docPr id="7" name="Picture 7"/>
            <wp:cNvGraphicFramePr>
              <a:graphicFrameLocks noChangeAspect="1"/>
            </wp:cNvGraphicFramePr>
            <a:graphic>
              <a:graphicData uri="http://schemas.openxmlformats.org/drawingml/2006/picture">
                <pic:pic>
                  <pic:nvPicPr>
                    <pic:cNvPr id="0" name="09_costos.png"/>
                    <pic:cNvPicPr/>
                  </pic:nvPicPr>
                  <pic:blipFill>
                    <a:blip r:embed="rId16"/>
                    <a:stretch>
                      <a:fillRect/>
                    </a:stretch>
                  </pic:blipFill>
                  <pic:spPr>
                    <a:xfrm>
                      <a:off x="0" y="0"/>
                      <a:ext cx="5303520" cy="2396466"/>
                    </a:xfrm>
                    <a:prstGeom prst="rect"/>
                  </pic:spPr>
                </pic:pic>
              </a:graphicData>
            </a:graphic>
          </wp:inline>
        </w:drawing>
      </w:r>
    </w:p>
    <w:p>
      <w:pPr>
        <w:spacing w:line="276" w:lineRule="auto" w:before="80" w:after="240"/>
      </w:pPr>
      <w:r>
        <w:rPr>
          <w:rFonts w:ascii="Times New Roman" w:hAnsi="Times New Roman"/>
          <w:i/>
          <w:sz w:val="20"/>
        </w:rPr>
        <w:t xml:space="preserve">Nota. </w:t>
      </w:r>
      <w:r>
        <w:rPr>
          <w:rFonts w:ascii="Times New Roman" w:hAnsi="Times New Roman"/>
          <w:sz w:val="20"/>
        </w:rPr>
        <w:t>Cálculo de costos directos de personal técnico (desarrolladores y analistas) en ProjectLibre.</w:t>
      </w:r>
    </w:p>
    <w:p>
      <w:pPr>
        <w:spacing w:line="480" w:lineRule="auto" w:before="240" w:after="80"/>
        <w:jc w:val="left"/>
      </w:pPr>
      <w:r>
        <w:rPr>
          <w:rFonts w:ascii="Times New Roman" w:hAnsi="Times New Roman"/>
          <w:b/>
          <w:sz w:val="24"/>
        </w:rPr>
        <w:t>7. Conclusiones y Recomendaciones</w:t>
      </w:r>
    </w:p>
    <w:p>
      <w:pPr>
        <w:spacing w:line="480" w:lineRule="auto" w:before="0" w:after="0"/>
        <w:ind w:firstLine="720"/>
        <w:jc w:val="both"/>
      </w:pPr>
      <w:r>
        <w:rPr>
          <w:rFonts w:ascii="Times New Roman" w:hAnsi="Times New Roman"/>
          <w:sz w:val="24"/>
        </w:rPr>
        <w:t>1. El diseño del portal empresarial corporativo para la empresa ficticia Lush Nails Spa S.A. demuestra cómo la integración de tecnologías web modernas (React 19, Express y PostgreSQL en la nube) resuelve integralmente la problemática de desorganización, duplicidad de agendas y descontrol operativo en una empresa de servicios con múltiples locales.</w:t>
      </w:r>
    </w:p>
    <w:p>
      <w:pPr>
        <w:spacing w:line="480" w:lineRule="auto" w:before="0" w:after="0"/>
        <w:ind w:firstLine="720"/>
        <w:jc w:val="both"/>
      </w:pPr>
      <w:r>
        <w:rPr>
          <w:rFonts w:ascii="Times New Roman" w:hAnsi="Times New Roman"/>
          <w:sz w:val="24"/>
        </w:rPr>
        <w:t>2. La implementación de un esquema de seguridad RBAC granular y persistente garantiza que cada colaborador (desde recepcionistas hasta gerentes y auditores contables) acceda exclusivamente a los módulos requeridos para su labor, salvaguardando la confidencialidad de la información financiera y de los clientes bajo estándares profesionales.</w:t>
      </w:r>
    </w:p>
    <w:p>
      <w:pPr>
        <w:spacing w:line="480" w:lineRule="auto" w:before="0" w:after="0"/>
        <w:ind w:firstLine="720"/>
        <w:jc w:val="both"/>
      </w:pPr>
      <w:r>
        <w:rPr>
          <w:rFonts w:ascii="Times New Roman" w:hAnsi="Times New Roman"/>
          <w:sz w:val="24"/>
        </w:rPr>
        <w:t>3. La inclusión de un Balanced Scorecard nativo con cuatro perspectivas enriquece el portal al convertirlo en un centro neurálgico de toma de decisiones estratégicas, permitiendo a la directiva medir la salud del negocio a través de KPIs cuantitativos actualizados en tiempo real.</w:t>
      </w:r>
    </w:p>
    <w:p>
      <w:pPr>
        <w:spacing w:line="480" w:lineRule="auto" w:before="0" w:after="0"/>
        <w:ind w:firstLine="720"/>
        <w:jc w:val="both"/>
      </w:pPr>
      <w:r>
        <w:rPr>
          <w:rFonts w:ascii="Times New Roman" w:hAnsi="Times New Roman"/>
          <w:sz w:val="24"/>
        </w:rPr>
        <w:t>4. Como recomendación futura, se sugiere incorporar pasarelas de pago electrónico en línea (e.g. Stripe o PayPhone) para anticipos de reservas, así como la habilitación de notificaciones automáticas vía WhatsApp Business API para reducir aún más la tasa de inasistencia a citas.</w:t>
      </w:r>
    </w:p>
    <w:p>
      <w:r>
        <w:br w:type="page"/>
      </w:r>
    </w:p>
    <w:p>
      <w:pPr>
        <w:spacing w:line="480" w:lineRule="auto" w:before="240" w:after="120"/>
        <w:jc w:val="center"/>
      </w:pPr>
      <w:r>
        <w:rPr>
          <w:rFonts w:ascii="Times New Roman" w:hAnsi="Times New Roman"/>
          <w:b/>
          <w:sz w:val="24"/>
        </w:rPr>
        <w:t>Referencias</w:t>
      </w:r>
    </w:p>
    <w:p>
      <w:pPr>
        <w:spacing w:line="480" w:lineRule="auto" w:before="0" w:after="0"/>
        <w:ind w:left="720" w:hanging="720"/>
        <w:jc w:val="both"/>
      </w:pPr>
      <w:r>
        <w:rPr>
          <w:rFonts w:ascii="Times New Roman" w:hAnsi="Times New Roman"/>
          <w:sz w:val="24"/>
        </w:rPr>
        <w:t xml:space="preserve">International Function Point Users Group. (2022). </w:t>
      </w:r>
      <w:r>
        <w:rPr>
          <w:rFonts w:ascii="Times New Roman" w:hAnsi="Times New Roman"/>
          <w:i/>
          <w:sz w:val="24"/>
        </w:rPr>
        <w:t xml:space="preserve">Counting practices manual (Release 4.3.1). </w:t>
      </w:r>
      <w:r>
        <w:rPr>
          <w:rFonts w:ascii="Times New Roman" w:hAnsi="Times New Roman"/>
          <w:sz w:val="24"/>
        </w:rPr>
        <w:t>IFPUG Publications.</w:t>
      </w:r>
    </w:p>
    <w:p>
      <w:pPr>
        <w:spacing w:line="480" w:lineRule="auto" w:before="0" w:after="0"/>
        <w:ind w:left="720" w:hanging="720"/>
        <w:jc w:val="both"/>
      </w:pPr>
      <w:r>
        <w:rPr>
          <w:rFonts w:ascii="Times New Roman" w:hAnsi="Times New Roman"/>
          <w:sz w:val="24"/>
        </w:rPr>
        <w:t xml:space="preserve">Kaplan, R. S., &amp; Norton, D. P. (1996). </w:t>
      </w:r>
      <w:r>
        <w:rPr>
          <w:rFonts w:ascii="Times New Roman" w:hAnsi="Times New Roman"/>
          <w:i/>
          <w:sz w:val="24"/>
        </w:rPr>
        <w:t xml:space="preserve">The balanced scorecard: Translating strategy into action. </w:t>
      </w:r>
      <w:r>
        <w:rPr>
          <w:rFonts w:ascii="Times New Roman" w:hAnsi="Times New Roman"/>
          <w:sz w:val="24"/>
        </w:rPr>
        <w:t>Harvard Business Review Press.</w:t>
      </w:r>
    </w:p>
    <w:p>
      <w:pPr>
        <w:spacing w:line="480" w:lineRule="auto" w:before="0" w:after="0"/>
        <w:ind w:left="720" w:hanging="720"/>
        <w:jc w:val="both"/>
      </w:pPr>
      <w:r>
        <w:rPr>
          <w:rFonts w:ascii="Times New Roman" w:hAnsi="Times New Roman"/>
          <w:sz w:val="24"/>
        </w:rPr>
        <w:t xml:space="preserve">Laudon, K. C., &amp; Laudon, J. P. (2022). </w:t>
      </w:r>
      <w:r>
        <w:rPr>
          <w:rFonts w:ascii="Times New Roman" w:hAnsi="Times New Roman"/>
          <w:i/>
          <w:sz w:val="24"/>
        </w:rPr>
        <w:t xml:space="preserve">Sistemas de información gerencial </w:t>
      </w:r>
      <w:r>
        <w:rPr>
          <w:rFonts w:ascii="Times New Roman" w:hAnsi="Times New Roman"/>
          <w:sz w:val="24"/>
        </w:rPr>
        <w:t>(17.ª ed.). Pearson Educación.</w:t>
      </w:r>
    </w:p>
    <w:p>
      <w:pPr>
        <w:spacing w:line="480" w:lineRule="auto" w:before="0" w:after="0"/>
        <w:ind w:left="720" w:hanging="720"/>
        <w:jc w:val="both"/>
      </w:pPr>
      <w:r>
        <w:rPr>
          <w:rFonts w:ascii="Times New Roman" w:hAnsi="Times New Roman"/>
          <w:sz w:val="24"/>
        </w:rPr>
        <w:t xml:space="preserve">Lush Nails Spa S.A. (2026). </w:t>
      </w:r>
      <w:r>
        <w:rPr>
          <w:rFonts w:ascii="Times New Roman" w:hAnsi="Times New Roman"/>
          <w:i/>
          <w:sz w:val="24"/>
        </w:rPr>
        <w:t xml:space="preserve">Repositorio y arquitectura del portal web corporativo </w:t>
      </w:r>
      <w:r>
        <w:rPr>
          <w:rFonts w:ascii="Times New Roman" w:hAnsi="Times New Roman"/>
          <w:sz w:val="24"/>
        </w:rPr>
        <w:t>[Código fuente y prototipo desplegado en Vercel y Neon].</w:t>
      </w:r>
    </w:p>
    <w:p>
      <w:pPr>
        <w:spacing w:line="480" w:lineRule="auto" w:before="0" w:after="0"/>
        <w:ind w:left="720" w:hanging="720"/>
        <w:jc w:val="both"/>
      </w:pPr>
      <w:r>
        <w:rPr>
          <w:rFonts w:ascii="Times New Roman" w:hAnsi="Times New Roman"/>
          <w:sz w:val="24"/>
        </w:rPr>
        <w:t xml:space="preserve">OWASP Foundation. (2021). </w:t>
      </w:r>
      <w:r>
        <w:rPr>
          <w:rFonts w:ascii="Times New Roman" w:hAnsi="Times New Roman"/>
          <w:i/>
          <w:sz w:val="24"/>
        </w:rPr>
        <w:t xml:space="preserve">OWASP Top 10 web application security risks. </w:t>
      </w:r>
      <w:r>
        <w:rPr>
          <w:rFonts w:ascii="Times New Roman" w:hAnsi="Times New Roman"/>
          <w:sz w:val="24"/>
        </w:rPr>
        <w:t>https://owasp.org/Top10/</w:t>
      </w:r>
    </w:p>
    <w:p>
      <w:pPr>
        <w:spacing w:line="480" w:lineRule="auto" w:before="0" w:after="0"/>
        <w:ind w:left="720" w:hanging="720"/>
        <w:jc w:val="both"/>
      </w:pPr>
      <w:r>
        <w:rPr>
          <w:rFonts w:ascii="Times New Roman" w:hAnsi="Times New Roman"/>
          <w:sz w:val="24"/>
        </w:rPr>
        <w:t xml:space="preserve">Project Management Institute. (2021). </w:t>
      </w:r>
      <w:r>
        <w:rPr>
          <w:rFonts w:ascii="Times New Roman" w:hAnsi="Times New Roman"/>
          <w:i/>
          <w:sz w:val="24"/>
        </w:rPr>
        <w:t xml:space="preserve">A guide to the project management body of knowledge (PMBOK guide) </w:t>
      </w:r>
      <w:r>
        <w:rPr>
          <w:rFonts w:ascii="Times New Roman" w:hAnsi="Times New Roman"/>
          <w:sz w:val="24"/>
        </w:rPr>
        <w:t>(7.ª ed.). PMI Publications.</w:t>
      </w:r>
    </w:p>
    <w:p>
      <w:pPr>
        <w:spacing w:line="480" w:lineRule="auto" w:before="0" w:after="0"/>
        <w:ind w:left="720" w:hanging="720"/>
        <w:jc w:val="both"/>
      </w:pPr>
      <w:r>
        <w:rPr>
          <w:rFonts w:ascii="Times New Roman" w:hAnsi="Times New Roman"/>
          <w:sz w:val="24"/>
        </w:rPr>
        <w:t xml:space="preserve">Sommerville, I. (2021). </w:t>
      </w:r>
      <w:r>
        <w:rPr>
          <w:rFonts w:ascii="Times New Roman" w:hAnsi="Times New Roman"/>
          <w:i/>
          <w:sz w:val="24"/>
        </w:rPr>
        <w:t xml:space="preserve">Ingeniería de software </w:t>
      </w:r>
      <w:r>
        <w:rPr>
          <w:rFonts w:ascii="Times New Roman" w:hAnsi="Times New Roman"/>
          <w:sz w:val="24"/>
        </w:rPr>
        <w:t>(10.ª ed.). Pearson Educación.</w:t>
      </w:r>
    </w:p>
    <w:p>
      <w:pPr>
        <w:spacing w:line="480" w:lineRule="auto" w:before="0" w:after="0"/>
        <w:ind w:left="720" w:hanging="720"/>
        <w:jc w:val="both"/>
      </w:pPr>
      <w:r>
        <w:rPr>
          <w:rFonts w:ascii="Times New Roman" w:hAnsi="Times New Roman"/>
          <w:sz w:val="24"/>
        </w:rPr>
        <w:t xml:space="preserve">Stallings, W. (2023). </w:t>
      </w:r>
      <w:r>
        <w:rPr>
          <w:rFonts w:ascii="Times New Roman" w:hAnsi="Times New Roman"/>
          <w:i/>
          <w:sz w:val="24"/>
        </w:rPr>
        <w:t xml:space="preserve">Cryptography and network security: Principles and practice </w:t>
      </w:r>
      <w:r>
        <w:rPr>
          <w:rFonts w:ascii="Times New Roman" w:hAnsi="Times New Roman"/>
          <w:sz w:val="24"/>
        </w:rPr>
        <w:t>(8.ª ed.). Pearson Education.</w:t>
      </w:r>
    </w:p>
    <w:p>
      <w:pPr>
        <w:spacing w:line="480" w:lineRule="auto" w:before="0" w:after="0"/>
        <w:ind w:left="720" w:hanging="720"/>
        <w:jc w:val="both"/>
      </w:pPr>
      <w:r>
        <w:rPr>
          <w:rFonts w:ascii="Times New Roman" w:hAnsi="Times New Roman"/>
          <w:sz w:val="24"/>
        </w:rPr>
        <w:t xml:space="preserve">World Wide Web Consortium. (2018). </w:t>
      </w:r>
      <w:r>
        <w:rPr>
          <w:rFonts w:ascii="Times New Roman" w:hAnsi="Times New Roman"/>
          <w:i/>
          <w:sz w:val="24"/>
        </w:rPr>
        <w:t xml:space="preserve">Web Content Accessibility Guidelines (WCAG) 2.1. </w:t>
      </w:r>
      <w:r>
        <w:rPr>
          <w:rFonts w:ascii="Times New Roman" w:hAnsi="Times New Roman"/>
          <w:sz w:val="24"/>
        </w:rPr>
        <w:t>W3C Recommendation. https://www.w3.org/TR/WCAG21/</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4"/>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