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pPr>
    </w:p>
    <w:p>
      <w:pPr>
        <w:spacing w:line="240" w:lineRule="auto"/>
      </w:pPr>
    </w:p>
    <w:p>
      <w:pPr>
        <w:spacing w:line="240" w:lineRule="auto"/>
      </w:pPr>
    </w:p>
    <w:p>
      <w:pPr>
        <w:spacing w:line="480" w:lineRule="auto"/>
        <w:jc w:val="center"/>
      </w:pPr>
      <w:r>
        <w:rPr>
          <w:b/>
          <w:sz w:val="24"/>
        </w:rPr>
        <w:t>Definición, Caracterización y Modelado de Usuarios:</w:t>
      </w:r>
      <w:r>
        <w:br/>
      </w:r>
      <w:r>
        <w:rPr>
          <w:b/>
          <w:sz w:val="24"/>
        </w:rPr>
        <w:t>Diseño Centrado en el Usuario (UCD) para el Portal Empresarial de Lush Nails Spa S.A.</w:t>
      </w:r>
    </w:p>
    <w:p>
      <w:pPr>
        <w:spacing w:line="480" w:lineRule="auto"/>
        <w:jc w:val="center"/>
      </w:pPr>
      <w:r>
        <w:rPr>
          <w:sz w:val="24"/>
        </w:rPr>
        <w:t>Informe Técnico de Usuarios y Requerimientos – Taller 5 (Unidad 3)</w:t>
      </w:r>
    </w:p>
    <w:p>
      <w:pPr>
        <w:spacing w:line="240" w:lineRule="auto"/>
      </w:pPr>
    </w:p>
    <w:p>
      <w:pPr>
        <w:spacing w:line="240" w:lineRule="auto"/>
      </w:pPr>
    </w:p>
    <w:p>
      <w:pPr>
        <w:spacing w:line="240" w:lineRule="auto"/>
      </w:pPr>
    </w:p>
    <w:p>
      <w:pPr>
        <w:spacing w:line="240" w:lineRule="auto"/>
      </w:pPr>
    </w:p>
    <w:p>
      <w:pPr>
        <w:spacing w:line="480" w:lineRule="auto" w:before="0" w:after="0"/>
        <w:jc w:val="center"/>
      </w:pPr>
      <w:r>
        <w:rPr>
          <w:sz w:val="24"/>
        </w:rPr>
        <w:t>Nombre del Estudiante: Stalyn Mateo Sánchez Cevallos</w:t>
      </w:r>
    </w:p>
    <w:p>
      <w:pPr>
        <w:spacing w:line="480" w:lineRule="auto" w:before="0" w:after="0"/>
        <w:jc w:val="center"/>
      </w:pPr>
      <w:r>
        <w:rPr>
          <w:sz w:val="24"/>
        </w:rPr>
        <w:t>Carrera: 4.° Nivel – Desarrollo de Software</w:t>
      </w:r>
    </w:p>
    <w:p>
      <w:pPr>
        <w:spacing w:line="480" w:lineRule="auto" w:before="0" w:after="0"/>
        <w:jc w:val="center"/>
      </w:pPr>
      <w:r>
        <w:rPr>
          <w:sz w:val="24"/>
        </w:rPr>
        <w:t>Institución: Instituto Superior Universitario Japón</w:t>
      </w:r>
    </w:p>
    <w:p>
      <w:pPr>
        <w:spacing w:line="480" w:lineRule="auto" w:before="0" w:after="0"/>
        <w:jc w:val="center"/>
      </w:pPr>
      <w:r>
        <w:rPr>
          <w:sz w:val="24"/>
        </w:rPr>
        <w:t>Asignatura: Desarrollo de Portales Empresariales o Corporativos</w:t>
      </w:r>
    </w:p>
    <w:p>
      <w:pPr>
        <w:spacing w:line="480" w:lineRule="auto" w:before="0" w:after="0"/>
        <w:jc w:val="center"/>
      </w:pPr>
      <w:r>
        <w:rPr>
          <w:sz w:val="24"/>
        </w:rPr>
        <w:t>Código de Asignatura: QU-DSW-AM-DESF_L405-19886</w:t>
      </w:r>
    </w:p>
    <w:p>
      <w:pPr>
        <w:spacing w:line="480" w:lineRule="auto" w:before="0" w:after="0"/>
        <w:jc w:val="center"/>
      </w:pPr>
      <w:r>
        <w:rPr>
          <w:sz w:val="24"/>
        </w:rPr>
        <w:t>Docente de la Cátedra: Ing. Docente Tutor</w:t>
      </w:r>
    </w:p>
    <w:p>
      <w:pPr>
        <w:spacing w:line="480" w:lineRule="auto" w:before="0" w:after="0"/>
        <w:jc w:val="center"/>
      </w:pPr>
      <w:r>
        <w:rPr>
          <w:sz w:val="24"/>
        </w:rPr>
        <w:t>Fecha de Entrega: 14 de septiembre de 2026</w:t>
      </w:r>
    </w:p>
    <w:p>
      <w:r>
        <w:br w:type="page"/>
      </w:r>
    </w:p>
    <w:p>
      <w:pPr>
        <w:spacing w:line="480" w:lineRule="auto" w:before="240" w:after="120"/>
        <w:jc w:val="center"/>
      </w:pPr>
      <w:r>
        <w:rPr>
          <w:rFonts w:ascii="Times New Roman" w:hAnsi="Times New Roman"/>
          <w:b/>
          <w:sz w:val="24"/>
        </w:rPr>
        <w:t>Definición de Usuarios del Portal Empresarial: Lush Nails Spa S.A.</w:t>
      </w:r>
    </w:p>
    <w:p>
      <w:pPr>
        <w:spacing w:line="480" w:lineRule="auto" w:before="240" w:after="80"/>
        <w:jc w:val="left"/>
      </w:pPr>
      <w:r>
        <w:rPr>
          <w:rFonts w:ascii="Times New Roman" w:hAnsi="Times New Roman"/>
          <w:b/>
          <w:sz w:val="24"/>
        </w:rPr>
        <w:t>1. Introducción y Enfoque Centrado en el Usuario (UCD)</w:t>
      </w:r>
    </w:p>
    <w:p>
      <w:pPr>
        <w:spacing w:line="480" w:lineRule="auto" w:before="0" w:after="0"/>
        <w:ind w:firstLine="720"/>
        <w:jc w:val="both"/>
      </w:pPr>
      <w:r>
        <w:rPr>
          <w:rFonts w:ascii="Times New Roman" w:hAnsi="Times New Roman"/>
          <w:sz w:val="24"/>
        </w:rPr>
        <w:t>El éxito de un portal empresarial corporativo no depende exclusivamente de la sofisticación de su arquitectura tecnológica ni de la potencia de sus bases de datos en la nube, sino primordialmente de su capacidad para satisfacer con precisión las necesidades, expectativas y flujos de trabajo de sus diversos grupos de interés. En el marco del Diseño Centrado en el Usuario (User-Centered Design, UCD), la identificación temprana y rigurosa de los perfiles de usuario permite definir requerimientos de software claros, optimizar la experiencia de navegación (UX), erradicar fricciones operativas y modelar matrices de seguridad robustas acordes a las responsabilidades de cada rol dentro de la organización (Norman, 2013).</w:t>
      </w:r>
    </w:p>
    <w:p>
      <w:pPr>
        <w:spacing w:line="480" w:lineRule="auto" w:before="0" w:after="0"/>
        <w:ind w:firstLine="720"/>
        <w:jc w:val="both"/>
      </w:pPr>
      <w:r>
        <w:rPr>
          <w:rFonts w:ascii="Times New Roman" w:hAnsi="Times New Roman"/>
          <w:sz w:val="24"/>
        </w:rPr>
        <w:t>Para este taller práctico de la Unidad 3, se toma como caso de estudio la empresa ficticia Lush Nails Spa S.A., una cadena corporativa en expansión dedicada a los servicios profesionales de cuidado estético, spa de uñas y bienestar personal con múltiples sucursales. El presente informe tiene como objetivo fundamental identificar, clasificar y caracterizar exhaustivamente a los principales actores y usuarios del portal web corporativo, elaborando arquetipos de usuario (User Personas), mapas de interacción, matrices de requerimientos y esquemas de gobernanza acordes a la realidad operativa del negocio (Pressman &amp; Maxim, 2020).</w:t>
      </w:r>
    </w:p>
    <w:p>
      <w:pPr>
        <w:spacing w:line="480" w:lineRule="auto" w:before="240" w:after="80"/>
        <w:jc w:val="left"/>
      </w:pPr>
      <w:r>
        <w:rPr>
          <w:rFonts w:ascii="Times New Roman" w:hAnsi="Times New Roman"/>
          <w:b/>
          <w:sz w:val="24"/>
        </w:rPr>
        <w:t>2. Segmentación y Clasificación de los Usuarios del Portal</w:t>
      </w:r>
    </w:p>
    <w:p>
      <w:pPr>
        <w:spacing w:line="480" w:lineRule="auto" w:before="0" w:after="0"/>
        <w:ind w:firstLine="720"/>
        <w:jc w:val="both"/>
      </w:pPr>
      <w:r>
        <w:rPr>
          <w:rFonts w:ascii="Times New Roman" w:hAnsi="Times New Roman"/>
          <w:sz w:val="24"/>
        </w:rPr>
        <w:t>Debido a la naturaleza híbrida del portal de Lush Nails Spa S.A. (que combina un entorno B2C de cara al público con una intranet B2E de gestión interna), los usuarios se estructuran en dos grandes categorías operativas: Usuarios Externos y Usuarios Internos. Cada grupo presenta motivaciones, niveles de competencia digital, contextos de acceso y requerimientos técnicos divergentes.</w:t>
      </w:r>
    </w:p>
    <w:p>
      <w:pPr>
        <w:spacing w:line="276" w:lineRule="auto" w:before="240" w:after="40"/>
      </w:pPr>
      <w:r>
        <w:rPr>
          <w:rFonts w:ascii="Times New Roman" w:hAnsi="Times New Roman"/>
          <w:b/>
          <w:sz w:val="24"/>
        </w:rPr>
        <w:t>Figura 1</w:t>
      </w:r>
    </w:p>
    <w:p>
      <w:pPr>
        <w:spacing w:line="276" w:lineRule="auto" w:before="0" w:after="120"/>
      </w:pPr>
      <w:r>
        <w:rPr>
          <w:rFonts w:ascii="Times New Roman" w:hAnsi="Times New Roman"/>
          <w:i/>
          <w:sz w:val="24"/>
        </w:rPr>
        <w:t>Mapa de Actores y Segmentación de Usuarios del Portal Empresarial</w:t>
      </w:r>
    </w:p>
    <w:p>
      <w:pPr>
        <w:spacing w:before="80" w:after="80"/>
        <w:jc w:val="center"/>
      </w:pPr>
      <w:r>
        <w:drawing>
          <wp:inline xmlns:a="http://schemas.openxmlformats.org/drawingml/2006/main" xmlns:pic="http://schemas.openxmlformats.org/drawingml/2006/picture">
            <wp:extent cx="5486400" cy="3108960"/>
            <wp:docPr id="1" name="Picture 1"/>
            <wp:cNvGraphicFramePr>
              <a:graphicFrameLocks noChangeAspect="1"/>
            </wp:cNvGraphicFramePr>
            <a:graphic>
              <a:graphicData uri="http://schemas.openxmlformats.org/drawingml/2006/picture">
                <pic:pic>
                  <pic:nvPicPr>
                    <pic:cNvPr id="0" name="figura1_segmentacion_usuarios.png"/>
                    <pic:cNvPicPr/>
                  </pic:nvPicPr>
                  <pic:blipFill>
                    <a:blip r:embed="rId10"/>
                    <a:stretch>
                      <a:fillRect/>
                    </a:stretch>
                  </pic:blipFill>
                  <pic:spPr>
                    <a:xfrm>
                      <a:off x="0" y="0"/>
                      <a:ext cx="5486400" cy="3108960"/>
                    </a:xfrm>
                    <a:prstGeom prst="rect"/>
                  </pic:spPr>
                </pic:pic>
              </a:graphicData>
            </a:graphic>
          </wp:inline>
        </w:drawing>
      </w:r>
    </w:p>
    <w:p>
      <w:pPr>
        <w:spacing w:line="276" w:lineRule="auto" w:before="80" w:after="240"/>
      </w:pPr>
      <w:r>
        <w:rPr>
          <w:rFonts w:ascii="Times New Roman" w:hAnsi="Times New Roman"/>
          <w:i/>
          <w:sz w:val="20"/>
        </w:rPr>
        <w:t xml:space="preserve">Nota. </w:t>
      </w:r>
      <w:r>
        <w:rPr>
          <w:rFonts w:ascii="Times New Roman" w:hAnsi="Times New Roman"/>
          <w:sz w:val="20"/>
        </w:rPr>
        <w:t>Elaboración propia basada en la clasificación de usuarios externos e internos de Lush Nails Spa S.A.</w:t>
      </w:r>
    </w:p>
    <w:p>
      <w:pPr>
        <w:spacing w:line="480" w:lineRule="auto" w:before="120" w:after="40"/>
        <w:jc w:val="left"/>
      </w:pPr>
      <w:r>
        <w:rPr>
          <w:rFonts w:ascii="Times New Roman" w:hAnsi="Times New Roman"/>
          <w:b/>
          <w:i/>
          <w:sz w:val="24"/>
        </w:rPr>
        <w:t>2.1. Usuarios Externos (Portal B2C / Extranet)</w:t>
      </w:r>
    </w:p>
    <w:p>
      <w:pPr>
        <w:spacing w:line="480" w:lineRule="auto" w:before="0" w:after="0"/>
        <w:ind w:firstLine="720"/>
        <w:jc w:val="both"/>
      </w:pPr>
      <w:r>
        <w:rPr>
          <w:rFonts w:ascii="Times New Roman" w:hAnsi="Times New Roman"/>
          <w:sz w:val="24"/>
        </w:rPr>
        <w:t>1. Clientes Finales (Recurrentes y Nuevos): Representan el núcleo de la demanda comercial. Acceden al portal primordialmente a través de teléfonos inteligentes para consultar el portafolio de servicios, verificar precios actualizados, consultar la disponibilidad de especialistas en tiempo real por sucursal, autogestionar reservas y recibir confirmaciones sin necesidad de intermediación telefónica.</w:t>
      </w:r>
    </w:p>
    <w:p>
      <w:pPr>
        <w:spacing w:line="480" w:lineRule="auto" w:before="0" w:after="0"/>
        <w:ind w:firstLine="720"/>
        <w:jc w:val="both"/>
      </w:pPr>
      <w:r>
        <w:rPr>
          <w:rFonts w:ascii="Times New Roman" w:hAnsi="Times New Roman"/>
          <w:sz w:val="24"/>
        </w:rPr>
        <w:t>2. Postulantes Laborales (Aspirantes): Profesionales del área estética que buscan integrarse al equipo de trabajo de la empresa. Interactúan con el módulo de 'Únete al Equipo' para revisar perfiles solicitados y postularse adjuntando su hoja de vida digital.</w:t>
      </w:r>
    </w:p>
    <w:p>
      <w:pPr>
        <w:spacing w:line="480" w:lineRule="auto" w:before="0" w:after="0"/>
        <w:ind w:firstLine="720"/>
        <w:jc w:val="both"/>
      </w:pPr>
      <w:r>
        <w:rPr>
          <w:rFonts w:ascii="Times New Roman" w:hAnsi="Times New Roman"/>
          <w:sz w:val="24"/>
        </w:rPr>
        <w:t>3. Proveedores y Aliados Comerciales: Empresas distribuidoras de esmaltes, acrílicos y equipamiento que consultan órdenes de compra corporativas y coordinan la reposición de insumos críticos con los administradores de sede.</w:t>
      </w:r>
    </w:p>
    <w:p>
      <w:pPr>
        <w:spacing w:line="480" w:lineRule="auto" w:before="120" w:after="40"/>
        <w:jc w:val="left"/>
      </w:pPr>
      <w:r>
        <w:rPr>
          <w:rFonts w:ascii="Times New Roman" w:hAnsi="Times New Roman"/>
          <w:b/>
          <w:i/>
          <w:sz w:val="24"/>
        </w:rPr>
        <w:t>2.2. Usuarios Internos (Intranet B2E / Back-Office)</w:t>
      </w:r>
    </w:p>
    <w:p>
      <w:pPr>
        <w:spacing w:line="480" w:lineRule="auto" w:before="0" w:after="0"/>
        <w:ind w:firstLine="720"/>
        <w:jc w:val="both"/>
      </w:pPr>
      <w:r>
        <w:rPr>
          <w:rFonts w:ascii="Times New Roman" w:hAnsi="Times New Roman"/>
          <w:sz w:val="24"/>
        </w:rPr>
        <w:t>1. Recepcionistas y Personal de Counter: Responsables de la atención en recepción. Utilizan la interfaz administrativa en computadores de escritorio para gestionar la agenda del día, confirmar citas recibidas vía web, asignar cabinas y registrar pagos.</w:t>
      </w:r>
    </w:p>
    <w:p>
      <w:pPr>
        <w:spacing w:line="480" w:lineRule="auto" w:before="0" w:after="0"/>
        <w:ind w:firstLine="720"/>
        <w:jc w:val="both"/>
      </w:pPr>
      <w:r>
        <w:rPr>
          <w:rFonts w:ascii="Times New Roman" w:hAnsi="Times New Roman"/>
          <w:sz w:val="24"/>
        </w:rPr>
        <w:t>2. Especialistas en Belleza (Manicuristas y Estilistas): Personal operativo directo. Consultan su cronograma diario de atenciones desde tablets o teléfonos en las cabinas de servicio, registrando el inicio y finalización de cada tratamiento.</w:t>
      </w:r>
    </w:p>
    <w:p>
      <w:pPr>
        <w:spacing w:line="480" w:lineRule="auto" w:before="0" w:after="0"/>
        <w:ind w:firstLine="720"/>
        <w:jc w:val="both"/>
      </w:pPr>
      <w:r>
        <w:rPr>
          <w:rFonts w:ascii="Times New Roman" w:hAnsi="Times New Roman"/>
          <w:sz w:val="24"/>
        </w:rPr>
        <w:t>3. Gerentes de Sucursal: Supervisores encargados del cumplimiento operativo y disciplinario de cada local. Autorizan cancelaciones, ajustan disponibilidad horaria del personal y solicitan pedidos de insumos a bodega central.</w:t>
      </w:r>
    </w:p>
    <w:p>
      <w:pPr>
        <w:spacing w:line="480" w:lineRule="auto" w:before="0" w:after="0"/>
        <w:ind w:firstLine="720"/>
        <w:jc w:val="both"/>
      </w:pPr>
      <w:r>
        <w:rPr>
          <w:rFonts w:ascii="Times New Roman" w:hAnsi="Times New Roman"/>
          <w:sz w:val="24"/>
        </w:rPr>
        <w:t>4. Dirección General y Finanzas: Alta gerencia y socios inversionistas que monitorean los indicadores estratégicos de negocio a través del Balanced Scorecard (BSC), evaluando ingresos mensuales consolidados, ticket promedio y rentabilidad por sede (Kaplan &amp; Norton, 1996).</w:t>
      </w:r>
    </w:p>
    <w:p>
      <w:pPr>
        <w:spacing w:line="276" w:lineRule="auto" w:before="240" w:after="40"/>
      </w:pPr>
      <w:r>
        <w:rPr>
          <w:rFonts w:ascii="Times New Roman" w:hAnsi="Times New Roman"/>
          <w:b/>
          <w:sz w:val="24"/>
        </w:rPr>
        <w:t>Tabla 1</w:t>
      </w:r>
    </w:p>
    <w:p>
      <w:pPr>
        <w:spacing w:line="276" w:lineRule="auto" w:before="0" w:after="120"/>
      </w:pPr>
      <w:r>
        <w:rPr>
          <w:rFonts w:ascii="Times New Roman" w:hAnsi="Times New Roman"/>
          <w:i/>
          <w:sz w:val="24"/>
        </w:rPr>
        <w:t>Caracterización General de los Perfiles de Usuario del Portal</w:t>
      </w:r>
    </w:p>
    <w:tbl>
      <w:tblPr>
        <w:tblW w:type="auto" w:w="0"/>
        <w:jc w:val="center"/>
        <w:tblLook w:firstColumn="1" w:firstRow="1" w:lastColumn="0" w:lastRow="0" w:noHBand="0" w:noVBand="1" w:val="04A0"/>
      </w:tblPr>
      <w:tblGrid>
        <w:gridCol w:w="1872"/>
        <w:gridCol w:w="1872"/>
        <w:gridCol w:w="1872"/>
        <w:gridCol w:w="1872"/>
        <w:gridCol w:w="1872"/>
      </w:tblGrid>
      <w:tr>
        <w:tc>
          <w:tcPr>
            <w:tcW w:type="dxa" w:w="1814"/>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Perfil de Usuario</w:t>
            </w:r>
          </w:p>
        </w:tc>
        <w:tc>
          <w:tcPr>
            <w:tcW w:type="dxa" w:w="1361"/>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Tipo</w:t>
            </w:r>
          </w:p>
        </w:tc>
        <w:tc>
          <w:tcPr>
            <w:tcW w:type="dxa" w:w="2835"/>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Objetivo Principal en el Portal</w:t>
            </w:r>
          </w:p>
        </w:tc>
        <w:tc>
          <w:tcPr>
            <w:tcW w:type="dxa" w:w="1474"/>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Frecuencia de Uso</w:t>
            </w:r>
          </w:p>
        </w:tc>
        <w:tc>
          <w:tcPr>
            <w:tcW w:type="dxa" w:w="2154"/>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Dispositivo Predominante</w:t>
            </w:r>
          </w:p>
        </w:tc>
      </w:tr>
      <w:tr>
        <w:tc>
          <w:tcPr>
            <w:tcW w:type="dxa" w:w="1814"/>
            <w:tcBorders>
              <w:top w:val="none"/>
              <w:bottom w:val="none"/>
              <w:left w:val="none"/>
              <w:right w:val="none"/>
            </w:tcBorders>
          </w:tcPr>
          <w:p>
            <w:pPr>
              <w:spacing w:before="60" w:after="60" w:line="276" w:lineRule="auto"/>
              <w:jc w:val="left"/>
            </w:pPr>
            <w:r>
              <w:rPr>
                <w:rFonts w:ascii="Times New Roman" w:hAnsi="Times New Roman"/>
                <w:sz w:val="20"/>
              </w:rPr>
              <w:t>Cliente Final</w:t>
            </w:r>
          </w:p>
        </w:tc>
        <w:tc>
          <w:tcPr>
            <w:tcW w:type="dxa" w:w="1361"/>
            <w:tcBorders>
              <w:top w:val="none"/>
              <w:bottom w:val="none"/>
              <w:left w:val="none"/>
              <w:right w:val="none"/>
            </w:tcBorders>
          </w:tcPr>
          <w:p>
            <w:pPr>
              <w:spacing w:before="60" w:after="60" w:line="276" w:lineRule="auto"/>
              <w:jc w:val="left"/>
            </w:pPr>
            <w:r>
              <w:rPr>
                <w:rFonts w:ascii="Times New Roman" w:hAnsi="Times New Roman"/>
                <w:sz w:val="20"/>
              </w:rPr>
              <w:t>Externo (B2C)</w:t>
            </w:r>
          </w:p>
        </w:tc>
        <w:tc>
          <w:tcPr>
            <w:tcW w:type="dxa" w:w="2835"/>
            <w:tcBorders>
              <w:top w:val="none"/>
              <w:bottom w:val="none"/>
              <w:left w:val="none"/>
              <w:right w:val="none"/>
            </w:tcBorders>
          </w:tcPr>
          <w:p>
            <w:pPr>
              <w:spacing w:before="60" w:after="60" w:line="276" w:lineRule="auto"/>
              <w:jc w:val="left"/>
            </w:pPr>
            <w:r>
              <w:rPr>
                <w:rFonts w:ascii="Times New Roman" w:hAnsi="Times New Roman"/>
                <w:sz w:val="20"/>
              </w:rPr>
              <w:t>Agendar servicios de belleza, revisar promociones y consultar horarios.</w:t>
            </w:r>
          </w:p>
        </w:tc>
        <w:tc>
          <w:tcPr>
            <w:tcW w:type="dxa" w:w="1474"/>
            <w:tcBorders>
              <w:top w:val="none"/>
              <w:bottom w:val="none"/>
              <w:left w:val="none"/>
              <w:right w:val="none"/>
            </w:tcBorders>
          </w:tcPr>
          <w:p>
            <w:pPr>
              <w:spacing w:before="60" w:after="60" w:line="276" w:lineRule="auto"/>
              <w:jc w:val="left"/>
            </w:pPr>
            <w:r>
              <w:rPr>
                <w:rFonts w:ascii="Times New Roman" w:hAnsi="Times New Roman"/>
                <w:sz w:val="20"/>
              </w:rPr>
              <w:t>Semanal / Quincenal</w:t>
            </w:r>
          </w:p>
        </w:tc>
        <w:tc>
          <w:tcPr>
            <w:tcW w:type="dxa" w:w="2154"/>
            <w:tcBorders>
              <w:top w:val="none"/>
              <w:bottom w:val="none"/>
              <w:left w:val="none"/>
              <w:right w:val="none"/>
            </w:tcBorders>
          </w:tcPr>
          <w:p>
            <w:pPr>
              <w:spacing w:before="60" w:after="60" w:line="276" w:lineRule="auto"/>
              <w:jc w:val="left"/>
            </w:pPr>
            <w:r>
              <w:rPr>
                <w:rFonts w:ascii="Times New Roman" w:hAnsi="Times New Roman"/>
                <w:sz w:val="20"/>
              </w:rPr>
              <w:t>Smartphone (Mobile Responsive)</w:t>
            </w:r>
          </w:p>
        </w:tc>
      </w:tr>
      <w:tr>
        <w:tc>
          <w:tcPr>
            <w:tcW w:type="dxa" w:w="1814"/>
            <w:tcBorders>
              <w:top w:val="none"/>
              <w:bottom w:val="none"/>
              <w:left w:val="none"/>
              <w:right w:val="none"/>
            </w:tcBorders>
          </w:tcPr>
          <w:p>
            <w:pPr>
              <w:spacing w:before="60" w:after="60" w:line="276" w:lineRule="auto"/>
              <w:jc w:val="left"/>
            </w:pPr>
            <w:r>
              <w:rPr>
                <w:rFonts w:ascii="Times New Roman" w:hAnsi="Times New Roman"/>
                <w:sz w:val="20"/>
              </w:rPr>
              <w:t>Postulante Laboral</w:t>
            </w:r>
          </w:p>
        </w:tc>
        <w:tc>
          <w:tcPr>
            <w:tcW w:type="dxa" w:w="1361"/>
            <w:tcBorders>
              <w:top w:val="none"/>
              <w:bottom w:val="none"/>
              <w:left w:val="none"/>
              <w:right w:val="none"/>
            </w:tcBorders>
          </w:tcPr>
          <w:p>
            <w:pPr>
              <w:spacing w:before="60" w:after="60" w:line="276" w:lineRule="auto"/>
              <w:jc w:val="left"/>
            </w:pPr>
            <w:r>
              <w:rPr>
                <w:rFonts w:ascii="Times New Roman" w:hAnsi="Times New Roman"/>
                <w:sz w:val="20"/>
              </w:rPr>
              <w:t>Externo (B2C)</w:t>
            </w:r>
          </w:p>
        </w:tc>
        <w:tc>
          <w:tcPr>
            <w:tcW w:type="dxa" w:w="2835"/>
            <w:tcBorders>
              <w:top w:val="none"/>
              <w:bottom w:val="none"/>
              <w:left w:val="none"/>
              <w:right w:val="none"/>
            </w:tcBorders>
          </w:tcPr>
          <w:p>
            <w:pPr>
              <w:spacing w:before="60" w:after="60" w:line="276" w:lineRule="auto"/>
              <w:jc w:val="left"/>
            </w:pPr>
            <w:r>
              <w:rPr>
                <w:rFonts w:ascii="Times New Roman" w:hAnsi="Times New Roman"/>
                <w:sz w:val="20"/>
              </w:rPr>
              <w:t>Revisar ofertas de empleo activas y enviar hoja de vida digital.</w:t>
            </w:r>
          </w:p>
        </w:tc>
        <w:tc>
          <w:tcPr>
            <w:tcW w:type="dxa" w:w="1474"/>
            <w:tcBorders>
              <w:top w:val="none"/>
              <w:bottom w:val="none"/>
              <w:left w:val="none"/>
              <w:right w:val="none"/>
            </w:tcBorders>
          </w:tcPr>
          <w:p>
            <w:pPr>
              <w:spacing w:before="60" w:after="60" w:line="276" w:lineRule="auto"/>
              <w:jc w:val="left"/>
            </w:pPr>
            <w:r>
              <w:rPr>
                <w:rFonts w:ascii="Times New Roman" w:hAnsi="Times New Roman"/>
                <w:sz w:val="20"/>
              </w:rPr>
              <w:t>Ocasional</w:t>
            </w:r>
          </w:p>
        </w:tc>
        <w:tc>
          <w:tcPr>
            <w:tcW w:type="dxa" w:w="2154"/>
            <w:tcBorders>
              <w:top w:val="none"/>
              <w:bottom w:val="none"/>
              <w:left w:val="none"/>
              <w:right w:val="none"/>
            </w:tcBorders>
          </w:tcPr>
          <w:p>
            <w:pPr>
              <w:spacing w:before="60" w:after="60" w:line="276" w:lineRule="auto"/>
              <w:jc w:val="left"/>
            </w:pPr>
            <w:r>
              <w:rPr>
                <w:rFonts w:ascii="Times New Roman" w:hAnsi="Times New Roman"/>
                <w:sz w:val="20"/>
              </w:rPr>
              <w:t>Smartphone / Laptop personal</w:t>
            </w:r>
          </w:p>
        </w:tc>
      </w:tr>
      <w:tr>
        <w:tc>
          <w:tcPr>
            <w:tcW w:type="dxa" w:w="1814"/>
            <w:tcBorders>
              <w:top w:val="none"/>
              <w:bottom w:val="none"/>
              <w:left w:val="none"/>
              <w:right w:val="none"/>
            </w:tcBorders>
          </w:tcPr>
          <w:p>
            <w:pPr>
              <w:spacing w:before="60" w:after="60" w:line="276" w:lineRule="auto"/>
              <w:jc w:val="left"/>
            </w:pPr>
            <w:r>
              <w:rPr>
                <w:rFonts w:ascii="Times New Roman" w:hAnsi="Times New Roman"/>
                <w:sz w:val="20"/>
              </w:rPr>
              <w:t>Proveedor / Aliado</w:t>
            </w:r>
          </w:p>
        </w:tc>
        <w:tc>
          <w:tcPr>
            <w:tcW w:type="dxa" w:w="1361"/>
            <w:tcBorders>
              <w:top w:val="none"/>
              <w:bottom w:val="none"/>
              <w:left w:val="none"/>
              <w:right w:val="none"/>
            </w:tcBorders>
          </w:tcPr>
          <w:p>
            <w:pPr>
              <w:spacing w:before="60" w:after="60" w:line="276" w:lineRule="auto"/>
              <w:jc w:val="left"/>
            </w:pPr>
            <w:r>
              <w:rPr>
                <w:rFonts w:ascii="Times New Roman" w:hAnsi="Times New Roman"/>
                <w:sz w:val="20"/>
              </w:rPr>
              <w:t>Externo (B2B)</w:t>
            </w:r>
          </w:p>
        </w:tc>
        <w:tc>
          <w:tcPr>
            <w:tcW w:type="dxa" w:w="2835"/>
            <w:tcBorders>
              <w:top w:val="none"/>
              <w:bottom w:val="none"/>
              <w:left w:val="none"/>
              <w:right w:val="none"/>
            </w:tcBorders>
          </w:tcPr>
          <w:p>
            <w:pPr>
              <w:spacing w:before="60" w:after="60" w:line="276" w:lineRule="auto"/>
              <w:jc w:val="left"/>
            </w:pPr>
            <w:r>
              <w:rPr>
                <w:rFonts w:ascii="Times New Roman" w:hAnsi="Times New Roman"/>
                <w:sz w:val="20"/>
              </w:rPr>
              <w:t>Consultar órdenes de pedido y convenios corporativos.</w:t>
            </w:r>
          </w:p>
        </w:tc>
        <w:tc>
          <w:tcPr>
            <w:tcW w:type="dxa" w:w="1474"/>
            <w:tcBorders>
              <w:top w:val="none"/>
              <w:bottom w:val="none"/>
              <w:left w:val="none"/>
              <w:right w:val="none"/>
            </w:tcBorders>
          </w:tcPr>
          <w:p>
            <w:pPr>
              <w:spacing w:before="60" w:after="60" w:line="276" w:lineRule="auto"/>
              <w:jc w:val="left"/>
            </w:pPr>
            <w:r>
              <w:rPr>
                <w:rFonts w:ascii="Times New Roman" w:hAnsi="Times New Roman"/>
                <w:sz w:val="20"/>
              </w:rPr>
              <w:t>Mensual</w:t>
            </w:r>
          </w:p>
        </w:tc>
        <w:tc>
          <w:tcPr>
            <w:tcW w:type="dxa" w:w="2154"/>
            <w:tcBorders>
              <w:top w:val="none"/>
              <w:bottom w:val="none"/>
              <w:left w:val="none"/>
              <w:right w:val="none"/>
            </w:tcBorders>
          </w:tcPr>
          <w:p>
            <w:pPr>
              <w:spacing w:before="60" w:after="60" w:line="276" w:lineRule="auto"/>
              <w:jc w:val="left"/>
            </w:pPr>
            <w:r>
              <w:rPr>
                <w:rFonts w:ascii="Times New Roman" w:hAnsi="Times New Roman"/>
                <w:sz w:val="20"/>
              </w:rPr>
              <w:t>Computador de escritorio</w:t>
            </w:r>
          </w:p>
        </w:tc>
      </w:tr>
      <w:tr>
        <w:tc>
          <w:tcPr>
            <w:tcW w:type="dxa" w:w="1814"/>
            <w:tcBorders>
              <w:top w:val="none"/>
              <w:bottom w:val="none"/>
              <w:left w:val="none"/>
              <w:right w:val="none"/>
            </w:tcBorders>
          </w:tcPr>
          <w:p>
            <w:pPr>
              <w:spacing w:before="60" w:after="60" w:line="276" w:lineRule="auto"/>
              <w:jc w:val="left"/>
            </w:pPr>
            <w:r>
              <w:rPr>
                <w:rFonts w:ascii="Times New Roman" w:hAnsi="Times New Roman"/>
                <w:sz w:val="20"/>
              </w:rPr>
              <w:t>Recepcionista</w:t>
            </w:r>
          </w:p>
        </w:tc>
        <w:tc>
          <w:tcPr>
            <w:tcW w:type="dxa" w:w="1361"/>
            <w:tcBorders>
              <w:top w:val="none"/>
              <w:bottom w:val="none"/>
              <w:left w:val="none"/>
              <w:right w:val="none"/>
            </w:tcBorders>
          </w:tcPr>
          <w:p>
            <w:pPr>
              <w:spacing w:before="60" w:after="60" w:line="276" w:lineRule="auto"/>
              <w:jc w:val="left"/>
            </w:pPr>
            <w:r>
              <w:rPr>
                <w:rFonts w:ascii="Times New Roman" w:hAnsi="Times New Roman"/>
                <w:sz w:val="20"/>
              </w:rPr>
              <w:t>Interno (B2E)</w:t>
            </w:r>
          </w:p>
        </w:tc>
        <w:tc>
          <w:tcPr>
            <w:tcW w:type="dxa" w:w="2835"/>
            <w:tcBorders>
              <w:top w:val="none"/>
              <w:bottom w:val="none"/>
              <w:left w:val="none"/>
              <w:right w:val="none"/>
            </w:tcBorders>
          </w:tcPr>
          <w:p>
            <w:pPr>
              <w:spacing w:before="60" w:after="60" w:line="276" w:lineRule="auto"/>
              <w:jc w:val="left"/>
            </w:pPr>
            <w:r>
              <w:rPr>
                <w:rFonts w:ascii="Times New Roman" w:hAnsi="Times New Roman"/>
                <w:sz w:val="20"/>
              </w:rPr>
              <w:t>Orquestar la agenda de citas, asignar cabinas y registrar cobros.</w:t>
            </w:r>
          </w:p>
        </w:tc>
        <w:tc>
          <w:tcPr>
            <w:tcW w:type="dxa" w:w="1474"/>
            <w:tcBorders>
              <w:top w:val="none"/>
              <w:bottom w:val="none"/>
              <w:left w:val="none"/>
              <w:right w:val="none"/>
            </w:tcBorders>
          </w:tcPr>
          <w:p>
            <w:pPr>
              <w:spacing w:before="60" w:after="60" w:line="276" w:lineRule="auto"/>
              <w:jc w:val="left"/>
            </w:pPr>
            <w:r>
              <w:rPr>
                <w:rFonts w:ascii="Times New Roman" w:hAnsi="Times New Roman"/>
                <w:sz w:val="20"/>
              </w:rPr>
              <w:t>Diario (Continuo)</w:t>
            </w:r>
          </w:p>
        </w:tc>
        <w:tc>
          <w:tcPr>
            <w:tcW w:type="dxa" w:w="2154"/>
            <w:tcBorders>
              <w:top w:val="none"/>
              <w:bottom w:val="none"/>
              <w:left w:val="none"/>
              <w:right w:val="none"/>
            </w:tcBorders>
          </w:tcPr>
          <w:p>
            <w:pPr>
              <w:spacing w:before="60" w:after="60" w:line="276" w:lineRule="auto"/>
              <w:jc w:val="left"/>
            </w:pPr>
            <w:r>
              <w:rPr>
                <w:rFonts w:ascii="Times New Roman" w:hAnsi="Times New Roman"/>
                <w:sz w:val="20"/>
              </w:rPr>
              <w:t>PC de escritorio / Tablet Counter</w:t>
            </w:r>
          </w:p>
        </w:tc>
      </w:tr>
      <w:tr>
        <w:tc>
          <w:tcPr>
            <w:tcW w:type="dxa" w:w="1814"/>
            <w:tcBorders>
              <w:top w:val="none"/>
              <w:bottom w:val="none"/>
              <w:left w:val="none"/>
              <w:right w:val="none"/>
            </w:tcBorders>
          </w:tcPr>
          <w:p>
            <w:pPr>
              <w:spacing w:before="60" w:after="60" w:line="276" w:lineRule="auto"/>
              <w:jc w:val="left"/>
            </w:pPr>
            <w:r>
              <w:rPr>
                <w:rFonts w:ascii="Times New Roman" w:hAnsi="Times New Roman"/>
                <w:sz w:val="20"/>
              </w:rPr>
              <w:t>Manicurista / Especialista</w:t>
            </w:r>
          </w:p>
        </w:tc>
        <w:tc>
          <w:tcPr>
            <w:tcW w:type="dxa" w:w="1361"/>
            <w:tcBorders>
              <w:top w:val="none"/>
              <w:bottom w:val="none"/>
              <w:left w:val="none"/>
              <w:right w:val="none"/>
            </w:tcBorders>
          </w:tcPr>
          <w:p>
            <w:pPr>
              <w:spacing w:before="60" w:after="60" w:line="276" w:lineRule="auto"/>
              <w:jc w:val="left"/>
            </w:pPr>
            <w:r>
              <w:rPr>
                <w:rFonts w:ascii="Times New Roman" w:hAnsi="Times New Roman"/>
                <w:sz w:val="20"/>
              </w:rPr>
              <w:t>Interno (B2E)</w:t>
            </w:r>
          </w:p>
        </w:tc>
        <w:tc>
          <w:tcPr>
            <w:tcW w:type="dxa" w:w="2835"/>
            <w:tcBorders>
              <w:top w:val="none"/>
              <w:bottom w:val="none"/>
              <w:left w:val="none"/>
              <w:right w:val="none"/>
            </w:tcBorders>
          </w:tcPr>
          <w:p>
            <w:pPr>
              <w:spacing w:before="60" w:after="60" w:line="276" w:lineRule="auto"/>
              <w:jc w:val="left"/>
            </w:pPr>
            <w:r>
              <w:rPr>
                <w:rFonts w:ascii="Times New Roman" w:hAnsi="Times New Roman"/>
                <w:sz w:val="20"/>
              </w:rPr>
              <w:t>Verificar turnos asignados y consultar fichas de servicios.</w:t>
            </w:r>
          </w:p>
        </w:tc>
        <w:tc>
          <w:tcPr>
            <w:tcW w:type="dxa" w:w="1474"/>
            <w:tcBorders>
              <w:top w:val="none"/>
              <w:bottom w:val="none"/>
              <w:left w:val="none"/>
              <w:right w:val="none"/>
            </w:tcBorders>
          </w:tcPr>
          <w:p>
            <w:pPr>
              <w:spacing w:before="60" w:after="60" w:line="276" w:lineRule="auto"/>
              <w:jc w:val="left"/>
            </w:pPr>
            <w:r>
              <w:rPr>
                <w:rFonts w:ascii="Times New Roman" w:hAnsi="Times New Roman"/>
                <w:sz w:val="20"/>
              </w:rPr>
              <w:t>Diario (Por servicio)</w:t>
            </w:r>
          </w:p>
        </w:tc>
        <w:tc>
          <w:tcPr>
            <w:tcW w:type="dxa" w:w="2154"/>
            <w:tcBorders>
              <w:top w:val="none"/>
              <w:bottom w:val="none"/>
              <w:left w:val="none"/>
              <w:right w:val="none"/>
            </w:tcBorders>
          </w:tcPr>
          <w:p>
            <w:pPr>
              <w:spacing w:before="60" w:after="60" w:line="276" w:lineRule="auto"/>
              <w:jc w:val="left"/>
            </w:pPr>
            <w:r>
              <w:rPr>
                <w:rFonts w:ascii="Times New Roman" w:hAnsi="Times New Roman"/>
                <w:sz w:val="20"/>
              </w:rPr>
              <w:t>Tablet de cabina / Smartphone</w:t>
            </w:r>
          </w:p>
        </w:tc>
      </w:tr>
      <w:tr>
        <w:tc>
          <w:tcPr>
            <w:tcW w:type="dxa" w:w="1814"/>
            <w:tcBorders>
              <w:top w:val="none"/>
              <w:bottom w:val="none"/>
              <w:left w:val="none"/>
              <w:right w:val="none"/>
            </w:tcBorders>
          </w:tcPr>
          <w:p>
            <w:pPr>
              <w:spacing w:before="60" w:after="60" w:line="276" w:lineRule="auto"/>
              <w:jc w:val="left"/>
            </w:pPr>
            <w:r>
              <w:rPr>
                <w:rFonts w:ascii="Times New Roman" w:hAnsi="Times New Roman"/>
                <w:sz w:val="20"/>
              </w:rPr>
              <w:t>Gerente de Sucursal</w:t>
            </w:r>
          </w:p>
        </w:tc>
        <w:tc>
          <w:tcPr>
            <w:tcW w:type="dxa" w:w="1361"/>
            <w:tcBorders>
              <w:top w:val="none"/>
              <w:bottom w:val="none"/>
              <w:left w:val="none"/>
              <w:right w:val="none"/>
            </w:tcBorders>
          </w:tcPr>
          <w:p>
            <w:pPr>
              <w:spacing w:before="60" w:after="60" w:line="276" w:lineRule="auto"/>
              <w:jc w:val="left"/>
            </w:pPr>
            <w:r>
              <w:rPr>
                <w:rFonts w:ascii="Times New Roman" w:hAnsi="Times New Roman"/>
                <w:sz w:val="20"/>
              </w:rPr>
              <w:t>Interno (B2E)</w:t>
            </w:r>
          </w:p>
        </w:tc>
        <w:tc>
          <w:tcPr>
            <w:tcW w:type="dxa" w:w="2835"/>
            <w:tcBorders>
              <w:top w:val="none"/>
              <w:bottom w:val="none"/>
              <w:left w:val="none"/>
              <w:right w:val="none"/>
            </w:tcBorders>
          </w:tcPr>
          <w:p>
            <w:pPr>
              <w:spacing w:before="60" w:after="60" w:line="276" w:lineRule="auto"/>
              <w:jc w:val="left"/>
            </w:pPr>
            <w:r>
              <w:rPr>
                <w:rFonts w:ascii="Times New Roman" w:hAnsi="Times New Roman"/>
                <w:sz w:val="20"/>
              </w:rPr>
              <w:t>Supervisar asistencia, coordinar compras y auditar caja diaria.</w:t>
            </w:r>
          </w:p>
        </w:tc>
        <w:tc>
          <w:tcPr>
            <w:tcW w:type="dxa" w:w="1474"/>
            <w:tcBorders>
              <w:top w:val="none"/>
              <w:bottom w:val="none"/>
              <w:left w:val="none"/>
              <w:right w:val="none"/>
            </w:tcBorders>
          </w:tcPr>
          <w:p>
            <w:pPr>
              <w:spacing w:before="60" w:after="60" w:line="276" w:lineRule="auto"/>
              <w:jc w:val="left"/>
            </w:pPr>
            <w:r>
              <w:rPr>
                <w:rFonts w:ascii="Times New Roman" w:hAnsi="Times New Roman"/>
                <w:sz w:val="20"/>
              </w:rPr>
              <w:t>Diario (Supervisión)</w:t>
            </w:r>
          </w:p>
        </w:tc>
        <w:tc>
          <w:tcPr>
            <w:tcW w:type="dxa" w:w="2154"/>
            <w:tcBorders>
              <w:top w:val="none"/>
              <w:bottom w:val="none"/>
              <w:left w:val="none"/>
              <w:right w:val="none"/>
            </w:tcBorders>
          </w:tcPr>
          <w:p>
            <w:pPr>
              <w:spacing w:before="60" w:after="60" w:line="276" w:lineRule="auto"/>
              <w:jc w:val="left"/>
            </w:pPr>
            <w:r>
              <w:rPr>
                <w:rFonts w:ascii="Times New Roman" w:hAnsi="Times New Roman"/>
                <w:sz w:val="20"/>
              </w:rPr>
              <w:t>Computador de escritorio / Laptop</w:t>
            </w:r>
          </w:p>
        </w:tc>
      </w:tr>
      <w:tr>
        <w:tc>
          <w:tcPr>
            <w:tcW w:type="dxa" w:w="1814"/>
            <w:tcBorders>
              <w:top w:val="none"/>
              <w:bottom w:val="none"/>
              <w:left w:val="none"/>
              <w:right w:val="none"/>
            </w:tcBorders>
          </w:tcPr>
          <w:p>
            <w:pPr>
              <w:spacing w:before="60" w:after="60" w:line="276" w:lineRule="auto"/>
              <w:jc w:val="left"/>
            </w:pPr>
            <w:r>
              <w:rPr>
                <w:rFonts w:ascii="Times New Roman" w:hAnsi="Times New Roman"/>
                <w:sz w:val="20"/>
              </w:rPr>
              <w:t>Dirección General / Finanzas</w:t>
            </w:r>
          </w:p>
        </w:tc>
        <w:tc>
          <w:tcPr>
            <w:tcW w:type="dxa" w:w="1361"/>
            <w:tcBorders>
              <w:top w:val="none"/>
              <w:bottom w:val="none"/>
              <w:left w:val="none"/>
              <w:right w:val="none"/>
            </w:tcBorders>
          </w:tcPr>
          <w:p>
            <w:pPr>
              <w:spacing w:before="60" w:after="60" w:line="276" w:lineRule="auto"/>
              <w:jc w:val="left"/>
            </w:pPr>
            <w:r>
              <w:rPr>
                <w:rFonts w:ascii="Times New Roman" w:hAnsi="Times New Roman"/>
                <w:sz w:val="20"/>
              </w:rPr>
              <w:t>Interno (B2E)</w:t>
            </w:r>
          </w:p>
        </w:tc>
        <w:tc>
          <w:tcPr>
            <w:tcW w:type="dxa" w:w="2835"/>
            <w:tcBorders>
              <w:top w:val="none"/>
              <w:bottom w:val="none"/>
              <w:left w:val="none"/>
              <w:right w:val="none"/>
            </w:tcBorders>
          </w:tcPr>
          <w:p>
            <w:pPr>
              <w:spacing w:before="60" w:after="60" w:line="276" w:lineRule="auto"/>
              <w:jc w:val="left"/>
            </w:pPr>
            <w:r>
              <w:rPr>
                <w:rFonts w:ascii="Times New Roman" w:hAnsi="Times New Roman"/>
                <w:sz w:val="20"/>
              </w:rPr>
              <w:t>Monitorear KPIs del BSC, ingresos y rentabilidad por sede.</w:t>
            </w:r>
          </w:p>
        </w:tc>
        <w:tc>
          <w:tcPr>
            <w:tcW w:type="dxa" w:w="1474"/>
            <w:tcBorders>
              <w:top w:val="none"/>
              <w:bottom w:val="none"/>
              <w:left w:val="none"/>
              <w:right w:val="none"/>
            </w:tcBorders>
          </w:tcPr>
          <w:p>
            <w:pPr>
              <w:spacing w:before="60" w:after="60" w:line="276" w:lineRule="auto"/>
              <w:jc w:val="left"/>
            </w:pPr>
            <w:r>
              <w:rPr>
                <w:rFonts w:ascii="Times New Roman" w:hAnsi="Times New Roman"/>
                <w:sz w:val="20"/>
              </w:rPr>
              <w:t>Semanal / Mensual</w:t>
            </w:r>
          </w:p>
        </w:tc>
        <w:tc>
          <w:tcPr>
            <w:tcW w:type="dxa" w:w="2154"/>
            <w:tcBorders>
              <w:top w:val="none"/>
              <w:bottom w:val="none"/>
              <w:left w:val="none"/>
              <w:right w:val="none"/>
            </w:tcBorders>
          </w:tcPr>
          <w:p>
            <w:pPr>
              <w:spacing w:before="60" w:after="60" w:line="276" w:lineRule="auto"/>
              <w:jc w:val="left"/>
            </w:pPr>
            <w:r>
              <w:rPr>
                <w:rFonts w:ascii="Times New Roman" w:hAnsi="Times New Roman"/>
                <w:sz w:val="20"/>
              </w:rPr>
              <w:t>Laptop Ejecutiva / iPad Pro</w:t>
            </w:r>
          </w:p>
        </w:tc>
      </w:tr>
      <w:tr>
        <w:tc>
          <w:tcPr>
            <w:tcW w:type="dxa" w:w="1814"/>
            <w:tcBorders>
              <w:top w:val="none"/>
              <w:bottom w:val="single" w:sz="8" w:space="0" w:color="000000"/>
              <w:left w:val="none"/>
              <w:right w:val="none"/>
            </w:tcBorders>
          </w:tcPr>
          <w:p>
            <w:pPr>
              <w:spacing w:before="60" w:after="60" w:line="276" w:lineRule="auto"/>
              <w:jc w:val="left"/>
            </w:pPr>
            <w:r>
              <w:rPr>
                <w:rFonts w:ascii="Times New Roman" w:hAnsi="Times New Roman"/>
                <w:sz w:val="20"/>
              </w:rPr>
              <w:t>Superadministrador TI</w:t>
            </w:r>
          </w:p>
        </w:tc>
        <w:tc>
          <w:tcPr>
            <w:tcW w:type="dxa" w:w="1361"/>
            <w:tcBorders>
              <w:top w:val="none"/>
              <w:bottom w:val="single" w:sz="8" w:space="0" w:color="000000"/>
              <w:left w:val="none"/>
              <w:right w:val="none"/>
            </w:tcBorders>
          </w:tcPr>
          <w:p>
            <w:pPr>
              <w:spacing w:before="60" w:after="60" w:line="276" w:lineRule="auto"/>
              <w:jc w:val="left"/>
            </w:pPr>
            <w:r>
              <w:rPr>
                <w:rFonts w:ascii="Times New Roman" w:hAnsi="Times New Roman"/>
                <w:sz w:val="20"/>
              </w:rPr>
              <w:t>Interno (TI)</w:t>
            </w:r>
          </w:p>
        </w:tc>
        <w:tc>
          <w:tcPr>
            <w:tcW w:type="dxa" w:w="2835"/>
            <w:tcBorders>
              <w:top w:val="none"/>
              <w:bottom w:val="single" w:sz="8" w:space="0" w:color="000000"/>
              <w:left w:val="none"/>
              <w:right w:val="none"/>
            </w:tcBorders>
          </w:tcPr>
          <w:p>
            <w:pPr>
              <w:spacing w:before="60" w:after="60" w:line="276" w:lineRule="auto"/>
              <w:jc w:val="left"/>
            </w:pPr>
            <w:r>
              <w:rPr>
                <w:rFonts w:ascii="Times New Roman" w:hAnsi="Times New Roman"/>
                <w:sz w:val="20"/>
              </w:rPr>
              <w:t>Gestionar usuarios, roles (RBAC), seguridad y backups de BD.</w:t>
            </w:r>
          </w:p>
        </w:tc>
        <w:tc>
          <w:tcPr>
            <w:tcW w:type="dxa" w:w="1474"/>
            <w:tcBorders>
              <w:top w:val="none"/>
              <w:bottom w:val="single" w:sz="8" w:space="0" w:color="000000"/>
              <w:left w:val="none"/>
              <w:right w:val="none"/>
            </w:tcBorders>
          </w:tcPr>
          <w:p>
            <w:pPr>
              <w:spacing w:before="60" w:after="60" w:line="276" w:lineRule="auto"/>
              <w:jc w:val="left"/>
            </w:pPr>
            <w:r>
              <w:rPr>
                <w:rFonts w:ascii="Times New Roman" w:hAnsi="Times New Roman"/>
                <w:sz w:val="20"/>
              </w:rPr>
              <w:t>Bajo demanda</w:t>
            </w:r>
          </w:p>
        </w:tc>
        <w:tc>
          <w:tcPr>
            <w:tcW w:type="dxa" w:w="2154"/>
            <w:tcBorders>
              <w:top w:val="none"/>
              <w:bottom w:val="single" w:sz="8" w:space="0" w:color="000000"/>
              <w:left w:val="none"/>
              <w:right w:val="none"/>
            </w:tcBorders>
          </w:tcPr>
          <w:p>
            <w:pPr>
              <w:spacing w:before="60" w:after="60" w:line="276" w:lineRule="auto"/>
              <w:jc w:val="left"/>
            </w:pPr>
            <w:r>
              <w:rPr>
                <w:rFonts w:ascii="Times New Roman" w:hAnsi="Times New Roman"/>
                <w:sz w:val="20"/>
              </w:rPr>
              <w:t>Estación de trabajo técnica</w:t>
            </w:r>
          </w:p>
        </w:tc>
      </w:tr>
    </w:tbl>
    <w:p>
      <w:pPr>
        <w:spacing w:line="276" w:lineRule="auto" w:before="80" w:after="240"/>
      </w:pPr>
      <w:r>
        <w:rPr>
          <w:rFonts w:ascii="Times New Roman" w:hAnsi="Times New Roman"/>
          <w:i/>
          <w:sz w:val="20"/>
        </w:rPr>
        <w:t xml:space="preserve">Nota. </w:t>
      </w:r>
      <w:r>
        <w:rPr>
          <w:rFonts w:ascii="Times New Roman" w:hAnsi="Times New Roman"/>
          <w:sz w:val="20"/>
        </w:rPr>
        <w:t>Elaboración propia a partir de la segmentación de actores del negocio.</w:t>
      </w:r>
    </w:p>
    <w:p>
      <w:pPr>
        <w:spacing w:line="480" w:lineRule="auto" w:before="240" w:after="80"/>
        <w:jc w:val="left"/>
      </w:pPr>
      <w:r>
        <w:rPr>
          <w:rFonts w:ascii="Times New Roman" w:hAnsi="Times New Roman"/>
          <w:b/>
          <w:sz w:val="24"/>
        </w:rPr>
        <w:t>3. Modelado de Arquetipos de Usuario (User Personas)</w:t>
      </w:r>
    </w:p>
    <w:p>
      <w:pPr>
        <w:spacing w:line="480" w:lineRule="auto" w:before="0" w:after="0"/>
        <w:ind w:firstLine="720"/>
        <w:jc w:val="both"/>
      </w:pPr>
      <w:r>
        <w:rPr>
          <w:rFonts w:ascii="Times New Roman" w:hAnsi="Times New Roman"/>
          <w:sz w:val="24"/>
        </w:rPr>
        <w:t>Para profundizar en la empatía y diseño de la interfaz de usuario, se construyen a continuación tres arquetipos de usuario (User Personas) representativos que sintetizan las metas, motivaciones, frustraciones y escenarios típicos de uso (Cooper et al., 2014):</w:t>
      </w:r>
    </w:p>
    <w:p>
      <w:pPr>
        <w:spacing w:line="276" w:lineRule="auto" w:before="240" w:after="40"/>
      </w:pPr>
      <w:r>
        <w:rPr>
          <w:rFonts w:ascii="Times New Roman" w:hAnsi="Times New Roman"/>
          <w:b/>
          <w:sz w:val="24"/>
        </w:rPr>
        <w:t>Figura 2</w:t>
      </w:r>
    </w:p>
    <w:p>
      <w:pPr>
        <w:spacing w:line="276" w:lineRule="auto" w:before="0" w:after="120"/>
      </w:pPr>
      <w:r>
        <w:rPr>
          <w:rFonts w:ascii="Times New Roman" w:hAnsi="Times New Roman"/>
          <w:i/>
          <w:sz w:val="24"/>
        </w:rPr>
        <w:t>Fichas de Arquetipos de Usuario (User Personas) Clave del Portal</w:t>
      </w:r>
    </w:p>
    <w:p>
      <w:pPr>
        <w:spacing w:before="80" w:after="80"/>
        <w:jc w:val="center"/>
      </w:pPr>
      <w:r>
        <w:drawing>
          <wp:inline xmlns:a="http://schemas.openxmlformats.org/drawingml/2006/main" xmlns:pic="http://schemas.openxmlformats.org/drawingml/2006/picture">
            <wp:extent cx="5486400" cy="2377440"/>
            <wp:docPr id="2" name="Picture 2"/>
            <wp:cNvGraphicFramePr>
              <a:graphicFrameLocks noChangeAspect="1"/>
            </wp:cNvGraphicFramePr>
            <a:graphic>
              <a:graphicData uri="http://schemas.openxmlformats.org/drawingml/2006/picture">
                <pic:pic>
                  <pic:nvPicPr>
                    <pic:cNvPr id="0" name="figura2_user_personas.png"/>
                    <pic:cNvPicPr/>
                  </pic:nvPicPr>
                  <pic:blipFill>
                    <a:blip r:embed="rId11"/>
                    <a:stretch>
                      <a:fillRect/>
                    </a:stretch>
                  </pic:blipFill>
                  <pic:spPr>
                    <a:xfrm>
                      <a:off x="0" y="0"/>
                      <a:ext cx="5486400" cy="2377440"/>
                    </a:xfrm>
                    <a:prstGeom prst="rect"/>
                  </pic:spPr>
                </pic:pic>
              </a:graphicData>
            </a:graphic>
          </wp:inline>
        </w:drawing>
      </w:r>
    </w:p>
    <w:p>
      <w:pPr>
        <w:spacing w:line="276" w:lineRule="auto" w:before="80" w:after="240"/>
      </w:pPr>
      <w:r>
        <w:rPr>
          <w:rFonts w:ascii="Times New Roman" w:hAnsi="Times New Roman"/>
          <w:i/>
          <w:sz w:val="20"/>
        </w:rPr>
        <w:t xml:space="preserve">Nota. </w:t>
      </w:r>
      <w:r>
        <w:rPr>
          <w:rFonts w:ascii="Times New Roman" w:hAnsi="Times New Roman"/>
          <w:sz w:val="20"/>
        </w:rPr>
        <w:t>Elaboración propia basada en la metodología de User Personas para diseño de interfaces web.</w:t>
      </w:r>
    </w:p>
    <w:p>
      <w:pPr>
        <w:spacing w:line="480" w:lineRule="auto" w:before="120" w:after="40"/>
        <w:jc w:val="left"/>
      </w:pPr>
      <w:r>
        <w:rPr>
          <w:rFonts w:ascii="Times New Roman" w:hAnsi="Times New Roman"/>
          <w:b/>
          <w:i/>
          <w:sz w:val="24"/>
        </w:rPr>
        <w:t>3.1. Persona 1: Camila Torres – La Cliente Profesional Ocupada (B2C)</w:t>
      </w:r>
    </w:p>
    <w:p>
      <w:pPr>
        <w:spacing w:line="480" w:lineRule="auto" w:before="0" w:after="0"/>
        <w:ind w:firstLine="720"/>
        <w:jc w:val="both"/>
      </w:pPr>
      <w:r>
        <w:rPr>
          <w:rFonts w:ascii="Times New Roman" w:hAnsi="Times New Roman"/>
          <w:sz w:val="24"/>
        </w:rPr>
        <w:t>Perfil Demográfico: 28 años, Ingeniera Comercial, reside en zona urbana cercana a la sucursal Centro. Comportamiento Digital: Usuario activo de banca móvil, e-commerce y redes sociales; realiza el 90% de sus transacciones en su smartphone. Objetivos en el Portal: Encontrar disponibilidad inmediata de manicura para el fin de semana en menos de dos minutos, conocer el precio exacto del servicio sin sorpresas al pagar y recibir un recordatorio automático que se sincronice con su calendario digital. Frustraciones Habituales: Odia tener que llamar por teléfono y esperar a que verifiquen agendas físicas, la falta de claridad en los precios de los servicios en redes sociales y las interfaces lentas o no optimizadas para pantallas táctiles pequeñas.</w:t>
      </w:r>
    </w:p>
    <w:p>
      <w:pPr>
        <w:spacing w:line="480" w:lineRule="auto" w:before="120" w:after="40"/>
        <w:jc w:val="left"/>
      </w:pPr>
      <w:r>
        <w:rPr>
          <w:rFonts w:ascii="Times New Roman" w:hAnsi="Times New Roman"/>
          <w:b/>
          <w:i/>
          <w:sz w:val="24"/>
        </w:rPr>
        <w:t>3.2. Persona 2: Valeria Gómez – La Recepcionista Multitarea (B2E)</w:t>
      </w:r>
    </w:p>
    <w:p>
      <w:pPr>
        <w:spacing w:line="480" w:lineRule="auto" w:before="0" w:after="0"/>
        <w:ind w:firstLine="720"/>
        <w:jc w:val="both"/>
      </w:pPr>
      <w:r>
        <w:rPr>
          <w:rFonts w:ascii="Times New Roman" w:hAnsi="Times New Roman"/>
          <w:sz w:val="24"/>
        </w:rPr>
        <w:t>Perfil Demográfico: 24 años, técnica en administración y atención al cliente, trabaja en el counter de la sucursal Norte. Comportamiento Digital: Maneja fluidamente navegadores web, suites ofimáticas y sistemas de mensajería empresarial. Objetivos en el Portal: Disponer de un tablero visual claro con las citas programadas para el día, confirmar la llegada de clientes con un solo clic, asignar especialistas sin solapamientos y generar reportes rápidos de cobros de fin de turno. Frustraciones Habituales: Citas duplicadas por agendas manuales, caídas de software lentas en horas pico de atención y sistemas con demasiados formularios burocráticos que entorpecen la fluidez del saludo al cliente presencial.</w:t>
      </w:r>
    </w:p>
    <w:p>
      <w:pPr>
        <w:spacing w:line="480" w:lineRule="auto" w:before="120" w:after="40"/>
        <w:jc w:val="left"/>
      </w:pPr>
      <w:r>
        <w:rPr>
          <w:rFonts w:ascii="Times New Roman" w:hAnsi="Times New Roman"/>
          <w:b/>
          <w:i/>
          <w:sz w:val="24"/>
        </w:rPr>
        <w:t>3.3. Persona 3: Elena Salazar – La Directora de Estrategia y Expansión (B2E)</w:t>
      </w:r>
    </w:p>
    <w:p>
      <w:pPr>
        <w:spacing w:line="480" w:lineRule="auto" w:before="0" w:after="0"/>
        <w:ind w:firstLine="720"/>
        <w:jc w:val="both"/>
      </w:pPr>
      <w:r>
        <w:rPr>
          <w:rFonts w:ascii="Times New Roman" w:hAnsi="Times New Roman"/>
          <w:sz w:val="24"/>
        </w:rPr>
        <w:t>Perfil Demográfico: 45 años, Máster en Administración de Empresas (MBA), fundadora y accionista principal de la cadena. Comportamiento Digital: Utiliza laptops ejecutivas y tablets de alta gama; se orienta exclusivamente a métricas e informes consolidados. Objetivos en el Portal: Evaluar en segundos el cumplimiento de metas financieras mediante el Balanced Scorecard (BSC), comparar el desempeño y ticket promedio entre las tres sucursales y tomar decisiones basadas en datos sobre la apertura de nuevas franquicias. Frustraciones Habituales: Depender de que contabilidad le envíe hojas de cálculo manuales con desfases de días, falta de trazabilidad en las pérdidas por cancelaciones de citas y reportes sin gráficos ejecutivos de lectura inmediata.</w:t>
      </w:r>
    </w:p>
    <w:p>
      <w:pPr>
        <w:spacing w:line="480" w:lineRule="auto" w:before="240" w:after="80"/>
        <w:jc w:val="left"/>
      </w:pPr>
      <w:r>
        <w:rPr>
          <w:rFonts w:ascii="Times New Roman" w:hAnsi="Times New Roman"/>
          <w:b/>
          <w:sz w:val="24"/>
        </w:rPr>
        <w:t>4. Matriz de Requerimientos Funcionales y No Funcionales por Usuario</w:t>
      </w:r>
    </w:p>
    <w:p>
      <w:pPr>
        <w:spacing w:line="480" w:lineRule="auto" w:before="0" w:after="0"/>
        <w:ind w:firstLine="720"/>
        <w:jc w:val="both"/>
      </w:pPr>
      <w:r>
        <w:rPr>
          <w:rFonts w:ascii="Times New Roman" w:hAnsi="Times New Roman"/>
          <w:sz w:val="24"/>
        </w:rPr>
        <w:t>Cada tipo de usuario demanda capacidades de software diferenciadas. La Tabla 2 consolida la trazabilidad entre los perfiles de usuario identificados, sus requerimientos funcionales críticos y los requerimientos no funcionales (calidad, rendimiento y usabilidad):</w:t>
      </w:r>
    </w:p>
    <w:p>
      <w:pPr>
        <w:spacing w:line="276" w:lineRule="auto" w:before="240" w:after="40"/>
      </w:pPr>
      <w:r>
        <w:rPr>
          <w:rFonts w:ascii="Times New Roman" w:hAnsi="Times New Roman"/>
          <w:b/>
          <w:sz w:val="24"/>
        </w:rPr>
        <w:t>Tabla 2</w:t>
      </w:r>
    </w:p>
    <w:p>
      <w:pPr>
        <w:spacing w:line="276" w:lineRule="auto" w:before="0" w:after="120"/>
      </w:pPr>
      <w:r>
        <w:rPr>
          <w:rFonts w:ascii="Times New Roman" w:hAnsi="Times New Roman"/>
          <w:i/>
          <w:sz w:val="24"/>
        </w:rPr>
        <w:t>Matriz de Trazabilidad de Requerimientos por Perfil de Usuario</w:t>
      </w:r>
    </w:p>
    <w:tbl>
      <w:tblPr>
        <w:tblW w:type="auto" w:w="0"/>
        <w:jc w:val="center"/>
        <w:tblLook w:firstColumn="1" w:firstRow="1" w:lastColumn="0" w:lastRow="0" w:noHBand="0" w:noVBand="1" w:val="04A0"/>
      </w:tblPr>
      <w:tblGrid>
        <w:gridCol w:w="2340"/>
        <w:gridCol w:w="2340"/>
        <w:gridCol w:w="2340"/>
        <w:gridCol w:w="2340"/>
      </w:tblGrid>
      <w:tr>
        <w:tc>
          <w:tcPr>
            <w:tcW w:type="dxa" w:w="1587"/>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Perfil de Usuario</w:t>
            </w:r>
          </w:p>
        </w:tc>
        <w:tc>
          <w:tcPr>
            <w:tcW w:type="dxa" w:w="3288"/>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Requerimientos Funcionales Esenciales</w:t>
            </w:r>
          </w:p>
        </w:tc>
        <w:tc>
          <w:tcPr>
            <w:tcW w:type="dxa" w:w="2835"/>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Requerimientos No Funcionales (Calidad / UX)</w:t>
            </w:r>
          </w:p>
        </w:tc>
        <w:tc>
          <w:tcPr>
            <w:tcW w:type="dxa" w:w="1928"/>
            <w:tcBorders>
              <w:top w:val="single" w:sz="8" w:space="0" w:color="000000"/>
              <w:bottom w:val="single" w:sz="8" w:space="0" w:color="000000"/>
              <w:left w:val="none"/>
              <w:right w:val="none"/>
            </w:tcBorders>
          </w:tcPr>
          <w:p>
            <w:pPr>
              <w:spacing w:before="80" w:after="80" w:line="276" w:lineRule="auto"/>
              <w:jc w:val="left"/>
            </w:pPr>
            <w:r>
              <w:rPr>
                <w:rFonts w:ascii="Times New Roman" w:hAnsi="Times New Roman"/>
                <w:b/>
                <w:sz w:val="20"/>
              </w:rPr>
              <w:t>Nivel de Privilegios (RBAC)</w:t>
            </w:r>
          </w:p>
        </w:tc>
      </w:tr>
      <w:tr>
        <w:tc>
          <w:tcPr>
            <w:tcW w:type="dxa" w:w="1587"/>
            <w:tcBorders>
              <w:top w:val="none"/>
              <w:bottom w:val="none"/>
              <w:left w:val="none"/>
              <w:right w:val="none"/>
            </w:tcBorders>
          </w:tcPr>
          <w:p>
            <w:pPr>
              <w:spacing w:before="60" w:after="60" w:line="276" w:lineRule="auto"/>
              <w:jc w:val="left"/>
            </w:pPr>
            <w:r>
              <w:rPr>
                <w:rFonts w:ascii="Times New Roman" w:hAnsi="Times New Roman"/>
                <w:sz w:val="20"/>
              </w:rPr>
              <w:t>Cliente Final</w:t>
            </w:r>
          </w:p>
        </w:tc>
        <w:tc>
          <w:tcPr>
            <w:tcW w:type="dxa" w:w="3288"/>
            <w:tcBorders>
              <w:top w:val="none"/>
              <w:bottom w:val="none"/>
              <w:left w:val="none"/>
              <w:right w:val="none"/>
            </w:tcBorders>
          </w:tcPr>
          <w:p>
            <w:pPr>
              <w:spacing w:before="60" w:after="60" w:line="276" w:lineRule="auto"/>
              <w:jc w:val="left"/>
            </w:pPr>
            <w:r>
              <w:rPr>
                <w:rFonts w:ascii="Times New Roman" w:hAnsi="Times New Roman"/>
                <w:sz w:val="20"/>
              </w:rPr>
              <w:t>Búsqueda de servicios, filtro de sedes, agenda interactiva, confirmación web y visualización de galería.</w:t>
            </w:r>
          </w:p>
        </w:tc>
        <w:tc>
          <w:tcPr>
            <w:tcW w:type="dxa" w:w="2835"/>
            <w:tcBorders>
              <w:top w:val="none"/>
              <w:bottom w:val="none"/>
              <w:left w:val="none"/>
              <w:right w:val="none"/>
            </w:tcBorders>
          </w:tcPr>
          <w:p>
            <w:pPr>
              <w:spacing w:before="60" w:after="60" w:line="276" w:lineRule="auto"/>
              <w:jc w:val="left"/>
            </w:pPr>
            <w:r>
              <w:rPr>
                <w:rFonts w:ascii="Times New Roman" w:hAnsi="Times New Roman"/>
                <w:sz w:val="20"/>
              </w:rPr>
              <w:t>Tiempo de carga &lt; 2s en 4G móvil, diseño 100% responsive, contraste WCAG AA.</w:t>
            </w:r>
          </w:p>
        </w:tc>
        <w:tc>
          <w:tcPr>
            <w:tcW w:type="dxa" w:w="1928"/>
            <w:tcBorders>
              <w:top w:val="none"/>
              <w:bottom w:val="none"/>
              <w:left w:val="none"/>
              <w:right w:val="none"/>
            </w:tcBorders>
          </w:tcPr>
          <w:p>
            <w:pPr>
              <w:spacing w:before="60" w:after="60" w:line="276" w:lineRule="auto"/>
              <w:jc w:val="left"/>
            </w:pPr>
            <w:r>
              <w:rPr>
                <w:rFonts w:ascii="Times New Roman" w:hAnsi="Times New Roman"/>
                <w:sz w:val="20"/>
              </w:rPr>
              <w:t>Acceso Público / Cliente</w:t>
            </w:r>
          </w:p>
        </w:tc>
      </w:tr>
      <w:tr>
        <w:tc>
          <w:tcPr>
            <w:tcW w:type="dxa" w:w="1587"/>
            <w:tcBorders>
              <w:top w:val="none"/>
              <w:bottom w:val="none"/>
              <w:left w:val="none"/>
              <w:right w:val="none"/>
            </w:tcBorders>
          </w:tcPr>
          <w:p>
            <w:pPr>
              <w:spacing w:before="60" w:after="60" w:line="276" w:lineRule="auto"/>
              <w:jc w:val="left"/>
            </w:pPr>
            <w:r>
              <w:rPr>
                <w:rFonts w:ascii="Times New Roman" w:hAnsi="Times New Roman"/>
                <w:sz w:val="20"/>
              </w:rPr>
              <w:t>Recepcionista</w:t>
            </w:r>
          </w:p>
        </w:tc>
        <w:tc>
          <w:tcPr>
            <w:tcW w:type="dxa" w:w="3288"/>
            <w:tcBorders>
              <w:top w:val="none"/>
              <w:bottom w:val="none"/>
              <w:left w:val="none"/>
              <w:right w:val="none"/>
            </w:tcBorders>
          </w:tcPr>
          <w:p>
            <w:pPr>
              <w:spacing w:before="60" w:after="60" w:line="276" w:lineRule="auto"/>
              <w:jc w:val="left"/>
            </w:pPr>
            <w:r>
              <w:rPr>
                <w:rFonts w:ascii="Times New Roman" w:hAnsi="Times New Roman"/>
                <w:sz w:val="20"/>
              </w:rPr>
              <w:t>Visualización de agenda diaria, confirmación de asistencia, alta rápida de citas presenciales y caja.</w:t>
            </w:r>
          </w:p>
        </w:tc>
        <w:tc>
          <w:tcPr>
            <w:tcW w:type="dxa" w:w="2835"/>
            <w:tcBorders>
              <w:top w:val="none"/>
              <w:bottom w:val="none"/>
              <w:left w:val="none"/>
              <w:right w:val="none"/>
            </w:tcBorders>
          </w:tcPr>
          <w:p>
            <w:pPr>
              <w:spacing w:before="60" w:after="60" w:line="276" w:lineRule="auto"/>
              <w:jc w:val="left"/>
            </w:pPr>
            <w:r>
              <w:rPr>
                <w:rFonts w:ascii="Times New Roman" w:hAnsi="Times New Roman"/>
                <w:sz w:val="20"/>
              </w:rPr>
              <w:t>Navegación por teclado ágil, actualización en tiempo real sin recarga forzada.</w:t>
            </w:r>
          </w:p>
        </w:tc>
        <w:tc>
          <w:tcPr>
            <w:tcW w:type="dxa" w:w="1928"/>
            <w:tcBorders>
              <w:top w:val="none"/>
              <w:bottom w:val="none"/>
              <w:left w:val="none"/>
              <w:right w:val="none"/>
            </w:tcBorders>
          </w:tcPr>
          <w:p>
            <w:pPr>
              <w:spacing w:before="60" w:after="60" w:line="276" w:lineRule="auto"/>
              <w:jc w:val="left"/>
            </w:pPr>
            <w:r>
              <w:rPr>
                <w:rFonts w:ascii="Times New Roman" w:hAnsi="Times New Roman"/>
                <w:sz w:val="20"/>
              </w:rPr>
              <w:t>Rol: recepcionista</w:t>
            </w:r>
          </w:p>
        </w:tc>
      </w:tr>
      <w:tr>
        <w:tc>
          <w:tcPr>
            <w:tcW w:type="dxa" w:w="1587"/>
            <w:tcBorders>
              <w:top w:val="none"/>
              <w:bottom w:val="none"/>
              <w:left w:val="none"/>
              <w:right w:val="none"/>
            </w:tcBorders>
          </w:tcPr>
          <w:p>
            <w:pPr>
              <w:spacing w:before="60" w:after="60" w:line="276" w:lineRule="auto"/>
              <w:jc w:val="left"/>
            </w:pPr>
            <w:r>
              <w:rPr>
                <w:rFonts w:ascii="Times New Roman" w:hAnsi="Times New Roman"/>
                <w:sz w:val="20"/>
              </w:rPr>
              <w:t>Manicurista</w:t>
            </w:r>
          </w:p>
        </w:tc>
        <w:tc>
          <w:tcPr>
            <w:tcW w:type="dxa" w:w="3288"/>
            <w:tcBorders>
              <w:top w:val="none"/>
              <w:bottom w:val="none"/>
              <w:left w:val="none"/>
              <w:right w:val="none"/>
            </w:tcBorders>
          </w:tcPr>
          <w:p>
            <w:pPr>
              <w:spacing w:before="60" w:after="60" w:line="276" w:lineRule="auto"/>
              <w:jc w:val="left"/>
            </w:pPr>
            <w:r>
              <w:rPr>
                <w:rFonts w:ascii="Times New Roman" w:hAnsi="Times New Roman"/>
                <w:sz w:val="20"/>
              </w:rPr>
              <w:t>Consulta de turnos asignados, tiempos de servicio y detalle de tratamientos estéticos solicitados.</w:t>
            </w:r>
          </w:p>
        </w:tc>
        <w:tc>
          <w:tcPr>
            <w:tcW w:type="dxa" w:w="2835"/>
            <w:tcBorders>
              <w:top w:val="none"/>
              <w:bottom w:val="none"/>
              <w:left w:val="none"/>
              <w:right w:val="none"/>
            </w:tcBorders>
          </w:tcPr>
          <w:p>
            <w:pPr>
              <w:spacing w:before="60" w:after="60" w:line="276" w:lineRule="auto"/>
              <w:jc w:val="left"/>
            </w:pPr>
            <w:r>
              <w:rPr>
                <w:rFonts w:ascii="Times New Roman" w:hAnsi="Times New Roman"/>
                <w:sz w:val="20"/>
              </w:rPr>
              <w:t>Modo oscuro para cabinas con luz focal, botones táctiles grandes en tablets.</w:t>
            </w:r>
          </w:p>
        </w:tc>
        <w:tc>
          <w:tcPr>
            <w:tcW w:type="dxa" w:w="1928"/>
            <w:tcBorders>
              <w:top w:val="none"/>
              <w:bottom w:val="none"/>
              <w:left w:val="none"/>
              <w:right w:val="none"/>
            </w:tcBorders>
          </w:tcPr>
          <w:p>
            <w:pPr>
              <w:spacing w:before="60" w:after="60" w:line="276" w:lineRule="auto"/>
              <w:jc w:val="left"/>
            </w:pPr>
            <w:r>
              <w:rPr>
                <w:rFonts w:ascii="Times New Roman" w:hAnsi="Times New Roman"/>
                <w:sz w:val="20"/>
              </w:rPr>
              <w:t>Rol: recepcionista / lectura</w:t>
            </w:r>
          </w:p>
        </w:tc>
      </w:tr>
      <w:tr>
        <w:tc>
          <w:tcPr>
            <w:tcW w:type="dxa" w:w="1587"/>
            <w:tcBorders>
              <w:top w:val="none"/>
              <w:bottom w:val="none"/>
              <w:left w:val="none"/>
              <w:right w:val="none"/>
            </w:tcBorders>
          </w:tcPr>
          <w:p>
            <w:pPr>
              <w:spacing w:before="60" w:after="60" w:line="276" w:lineRule="auto"/>
              <w:jc w:val="left"/>
            </w:pPr>
            <w:r>
              <w:rPr>
                <w:rFonts w:ascii="Times New Roman" w:hAnsi="Times New Roman"/>
                <w:sz w:val="20"/>
              </w:rPr>
              <w:t>Gerente Sucursal</w:t>
            </w:r>
          </w:p>
        </w:tc>
        <w:tc>
          <w:tcPr>
            <w:tcW w:type="dxa" w:w="3288"/>
            <w:tcBorders>
              <w:top w:val="none"/>
              <w:bottom w:val="none"/>
              <w:left w:val="none"/>
              <w:right w:val="none"/>
            </w:tcBorders>
          </w:tcPr>
          <w:p>
            <w:pPr>
              <w:spacing w:before="60" w:after="60" w:line="276" w:lineRule="auto"/>
              <w:jc w:val="left"/>
            </w:pPr>
            <w:r>
              <w:rPr>
                <w:rFonts w:ascii="Times New Roman" w:hAnsi="Times New Roman"/>
                <w:sz w:val="20"/>
              </w:rPr>
              <w:t>Aprobación de cancelaciones, reasignación de personal, control de inventario y pedidos a bodega.</w:t>
            </w:r>
          </w:p>
        </w:tc>
        <w:tc>
          <w:tcPr>
            <w:tcW w:type="dxa" w:w="2835"/>
            <w:tcBorders>
              <w:top w:val="none"/>
              <w:bottom w:val="none"/>
              <w:left w:val="none"/>
              <w:right w:val="none"/>
            </w:tcBorders>
          </w:tcPr>
          <w:p>
            <w:pPr>
              <w:spacing w:before="60" w:after="60" w:line="276" w:lineRule="auto"/>
              <w:jc w:val="left"/>
            </w:pPr>
            <w:r>
              <w:rPr>
                <w:rFonts w:ascii="Times New Roman" w:hAnsi="Times New Roman"/>
                <w:sz w:val="20"/>
              </w:rPr>
              <w:t>Trazabilidad de cambios, exportación a Excel/PDF y alertas de quiebre de stock.</w:t>
            </w:r>
          </w:p>
        </w:tc>
        <w:tc>
          <w:tcPr>
            <w:tcW w:type="dxa" w:w="1928"/>
            <w:tcBorders>
              <w:top w:val="none"/>
              <w:bottom w:val="none"/>
              <w:left w:val="none"/>
              <w:right w:val="none"/>
            </w:tcBorders>
          </w:tcPr>
          <w:p>
            <w:pPr>
              <w:spacing w:before="60" w:after="60" w:line="276" w:lineRule="auto"/>
              <w:jc w:val="left"/>
            </w:pPr>
            <w:r>
              <w:rPr>
                <w:rFonts w:ascii="Times New Roman" w:hAnsi="Times New Roman"/>
                <w:sz w:val="20"/>
              </w:rPr>
              <w:t>Rol: admin</w:t>
            </w:r>
          </w:p>
        </w:tc>
      </w:tr>
      <w:tr>
        <w:tc>
          <w:tcPr>
            <w:tcW w:type="dxa" w:w="1587"/>
            <w:tcBorders>
              <w:top w:val="none"/>
              <w:bottom w:val="none"/>
              <w:left w:val="none"/>
              <w:right w:val="none"/>
            </w:tcBorders>
          </w:tcPr>
          <w:p>
            <w:pPr>
              <w:spacing w:before="60" w:after="60" w:line="276" w:lineRule="auto"/>
              <w:jc w:val="left"/>
            </w:pPr>
            <w:r>
              <w:rPr>
                <w:rFonts w:ascii="Times New Roman" w:hAnsi="Times New Roman"/>
                <w:sz w:val="20"/>
              </w:rPr>
              <w:t>RRHH</w:t>
            </w:r>
          </w:p>
        </w:tc>
        <w:tc>
          <w:tcPr>
            <w:tcW w:type="dxa" w:w="3288"/>
            <w:tcBorders>
              <w:top w:val="none"/>
              <w:bottom w:val="none"/>
              <w:left w:val="none"/>
              <w:right w:val="none"/>
            </w:tcBorders>
          </w:tcPr>
          <w:p>
            <w:pPr>
              <w:spacing w:before="60" w:after="60" w:line="276" w:lineRule="auto"/>
              <w:jc w:val="left"/>
            </w:pPr>
            <w:r>
              <w:rPr>
                <w:rFonts w:ascii="Times New Roman" w:hAnsi="Times New Roman"/>
                <w:sz w:val="20"/>
              </w:rPr>
              <w:t>Gestión de nómina de empleados, asignación de turnos semanales y filtro de postulaciones laborales.</w:t>
            </w:r>
          </w:p>
        </w:tc>
        <w:tc>
          <w:tcPr>
            <w:tcW w:type="dxa" w:w="2835"/>
            <w:tcBorders>
              <w:top w:val="none"/>
              <w:bottom w:val="none"/>
              <w:left w:val="none"/>
              <w:right w:val="none"/>
            </w:tcBorders>
          </w:tcPr>
          <w:p>
            <w:pPr>
              <w:spacing w:before="60" w:after="60" w:line="276" w:lineRule="auto"/>
              <w:jc w:val="left"/>
            </w:pPr>
            <w:r>
              <w:rPr>
                <w:rFonts w:ascii="Times New Roman" w:hAnsi="Times New Roman"/>
                <w:sz w:val="20"/>
              </w:rPr>
              <w:t>Almacenamiento seguro de CVs, filtros por especialidad y cumplimiento GDPR/LOPDP.</w:t>
            </w:r>
          </w:p>
        </w:tc>
        <w:tc>
          <w:tcPr>
            <w:tcW w:type="dxa" w:w="1928"/>
            <w:tcBorders>
              <w:top w:val="none"/>
              <w:bottom w:val="none"/>
              <w:left w:val="none"/>
              <w:right w:val="none"/>
            </w:tcBorders>
          </w:tcPr>
          <w:p>
            <w:pPr>
              <w:spacing w:before="60" w:after="60" w:line="276" w:lineRule="auto"/>
              <w:jc w:val="left"/>
            </w:pPr>
            <w:r>
              <w:rPr>
                <w:rFonts w:ascii="Times New Roman" w:hAnsi="Times New Roman"/>
                <w:sz w:val="20"/>
              </w:rPr>
              <w:t>Rol: rrhh</w:t>
            </w:r>
          </w:p>
        </w:tc>
      </w:tr>
      <w:tr>
        <w:tc>
          <w:tcPr>
            <w:tcW w:type="dxa" w:w="1587"/>
            <w:tcBorders>
              <w:top w:val="none"/>
              <w:bottom w:val="none"/>
              <w:left w:val="none"/>
              <w:right w:val="none"/>
            </w:tcBorders>
          </w:tcPr>
          <w:p>
            <w:pPr>
              <w:spacing w:before="60" w:after="60" w:line="276" w:lineRule="auto"/>
              <w:jc w:val="left"/>
            </w:pPr>
            <w:r>
              <w:rPr>
                <w:rFonts w:ascii="Times New Roman" w:hAnsi="Times New Roman"/>
                <w:sz w:val="20"/>
              </w:rPr>
              <w:t>Gerencia / Finanzas</w:t>
            </w:r>
          </w:p>
        </w:tc>
        <w:tc>
          <w:tcPr>
            <w:tcW w:type="dxa" w:w="3288"/>
            <w:tcBorders>
              <w:top w:val="none"/>
              <w:bottom w:val="none"/>
              <w:left w:val="none"/>
              <w:right w:val="none"/>
            </w:tcBorders>
          </w:tcPr>
          <w:p>
            <w:pPr>
              <w:spacing w:before="60" w:after="60" w:line="276" w:lineRule="auto"/>
              <w:jc w:val="left"/>
            </w:pPr>
            <w:r>
              <w:rPr>
                <w:rFonts w:ascii="Times New Roman" w:hAnsi="Times New Roman"/>
                <w:sz w:val="20"/>
              </w:rPr>
              <w:t>Acceso al Balanced Scorecard (BSC), comparativa de ingresos por sede y márgenes de rentabilidad.</w:t>
            </w:r>
          </w:p>
        </w:tc>
        <w:tc>
          <w:tcPr>
            <w:tcW w:type="dxa" w:w="2835"/>
            <w:tcBorders>
              <w:top w:val="none"/>
              <w:bottom w:val="none"/>
              <w:left w:val="none"/>
              <w:right w:val="none"/>
            </w:tcBorders>
          </w:tcPr>
          <w:p>
            <w:pPr>
              <w:spacing w:before="60" w:after="60" w:line="276" w:lineRule="auto"/>
              <w:jc w:val="left"/>
            </w:pPr>
            <w:r>
              <w:rPr>
                <w:rFonts w:ascii="Times New Roman" w:hAnsi="Times New Roman"/>
                <w:sz w:val="20"/>
              </w:rPr>
              <w:t>Visualización analítica en gráficos interactivos, seguridad estricta y SSO.</w:t>
            </w:r>
          </w:p>
        </w:tc>
        <w:tc>
          <w:tcPr>
            <w:tcW w:type="dxa" w:w="1928"/>
            <w:tcBorders>
              <w:top w:val="none"/>
              <w:bottom w:val="none"/>
              <w:left w:val="none"/>
              <w:right w:val="none"/>
            </w:tcBorders>
          </w:tcPr>
          <w:p>
            <w:pPr>
              <w:spacing w:before="60" w:after="60" w:line="276" w:lineRule="auto"/>
              <w:jc w:val="left"/>
            </w:pPr>
            <w:r>
              <w:rPr>
                <w:rFonts w:ascii="Times New Roman" w:hAnsi="Times New Roman"/>
                <w:sz w:val="20"/>
              </w:rPr>
              <w:t>Rol: gerencia / contabilidad</w:t>
            </w:r>
          </w:p>
        </w:tc>
      </w:tr>
      <w:tr>
        <w:tc>
          <w:tcPr>
            <w:tcW w:type="dxa" w:w="1587"/>
            <w:tcBorders>
              <w:top w:val="none"/>
              <w:bottom w:val="single" w:sz="8" w:space="0" w:color="000000"/>
              <w:left w:val="none"/>
              <w:right w:val="none"/>
            </w:tcBorders>
          </w:tcPr>
          <w:p>
            <w:pPr>
              <w:spacing w:before="60" w:after="60" w:line="276" w:lineRule="auto"/>
              <w:jc w:val="left"/>
            </w:pPr>
            <w:r>
              <w:rPr>
                <w:rFonts w:ascii="Times New Roman" w:hAnsi="Times New Roman"/>
                <w:sz w:val="20"/>
              </w:rPr>
              <w:t>Superadministrador</w:t>
            </w:r>
          </w:p>
        </w:tc>
        <w:tc>
          <w:tcPr>
            <w:tcW w:type="dxa" w:w="3288"/>
            <w:tcBorders>
              <w:top w:val="none"/>
              <w:bottom w:val="single" w:sz="8" w:space="0" w:color="000000"/>
              <w:left w:val="none"/>
              <w:right w:val="none"/>
            </w:tcBorders>
          </w:tcPr>
          <w:p>
            <w:pPr>
              <w:spacing w:before="60" w:after="60" w:line="276" w:lineRule="auto"/>
              <w:jc w:val="left"/>
            </w:pPr>
            <w:r>
              <w:rPr>
                <w:rFonts w:ascii="Times New Roman" w:hAnsi="Times New Roman"/>
                <w:sz w:val="20"/>
              </w:rPr>
              <w:t>Gestión total de roles, permisos, configuración institucional, auditoría y mantenimiento de BD.</w:t>
            </w:r>
          </w:p>
        </w:tc>
        <w:tc>
          <w:tcPr>
            <w:tcW w:type="dxa" w:w="2835"/>
            <w:tcBorders>
              <w:top w:val="none"/>
              <w:bottom w:val="single" w:sz="8" w:space="0" w:color="000000"/>
              <w:left w:val="none"/>
              <w:right w:val="none"/>
            </w:tcBorders>
          </w:tcPr>
          <w:p>
            <w:pPr>
              <w:spacing w:before="60" w:after="60" w:line="276" w:lineRule="auto"/>
              <w:jc w:val="left"/>
            </w:pPr>
            <w:r>
              <w:rPr>
                <w:rFonts w:ascii="Times New Roman" w:hAnsi="Times New Roman"/>
                <w:sz w:val="20"/>
              </w:rPr>
              <w:t>Sesión cifrada, registro inmutable de logs y tolerancia a fallos en nube.</w:t>
            </w:r>
          </w:p>
        </w:tc>
        <w:tc>
          <w:tcPr>
            <w:tcW w:type="dxa" w:w="1928"/>
            <w:tcBorders>
              <w:top w:val="none"/>
              <w:bottom w:val="single" w:sz="8" w:space="0" w:color="000000"/>
              <w:left w:val="none"/>
              <w:right w:val="none"/>
            </w:tcBorders>
          </w:tcPr>
          <w:p>
            <w:pPr>
              <w:spacing w:before="60" w:after="60" w:line="276" w:lineRule="auto"/>
              <w:jc w:val="left"/>
            </w:pPr>
            <w:r>
              <w:rPr>
                <w:rFonts w:ascii="Times New Roman" w:hAnsi="Times New Roman"/>
                <w:sz w:val="20"/>
              </w:rPr>
              <w:t>Rol: superadmin</w:t>
            </w:r>
          </w:p>
        </w:tc>
      </w:tr>
    </w:tbl>
    <w:p>
      <w:pPr>
        <w:spacing w:line="276" w:lineRule="auto" w:before="80" w:after="240"/>
      </w:pPr>
      <w:r>
        <w:rPr>
          <w:rFonts w:ascii="Times New Roman" w:hAnsi="Times New Roman"/>
          <w:i/>
          <w:sz w:val="20"/>
        </w:rPr>
        <w:t xml:space="preserve">Nota. </w:t>
      </w:r>
      <w:r>
        <w:rPr>
          <w:rFonts w:ascii="Times New Roman" w:hAnsi="Times New Roman"/>
          <w:sz w:val="20"/>
        </w:rPr>
        <w:t>Elaboración propia alineada al esquema de requerimientos del portal.</w:t>
      </w:r>
    </w:p>
    <w:p>
      <w:pPr>
        <w:spacing w:line="480" w:lineRule="auto" w:before="240" w:after="80"/>
        <w:jc w:val="left"/>
      </w:pPr>
      <w:r>
        <w:rPr>
          <w:rFonts w:ascii="Times New Roman" w:hAnsi="Times New Roman"/>
          <w:b/>
          <w:sz w:val="24"/>
        </w:rPr>
        <w:t>5. Modelado de Interacción: Diagrama de Casos de Uso</w:t>
      </w:r>
    </w:p>
    <w:p>
      <w:pPr>
        <w:spacing w:line="480" w:lineRule="auto" w:before="0" w:after="0"/>
        <w:ind w:firstLine="720"/>
        <w:jc w:val="both"/>
      </w:pPr>
      <w:r>
        <w:rPr>
          <w:rFonts w:ascii="Times New Roman" w:hAnsi="Times New Roman"/>
          <w:sz w:val="24"/>
        </w:rPr>
        <w:t>La interacción entre los diferentes actores modelados y los límites funcionales del portal empresarial se estructura formalmente mediante el Diagrama de Casos de Uso presentado en la Figura 3. Cada actor interactúa exclusivamente con los casos de uso para los cuales su rol ha sido autorizado, garantizando seguridad y una experiencia focalizada en sus tareas habituales:</w:t>
      </w:r>
    </w:p>
    <w:p>
      <w:pPr>
        <w:spacing w:line="276" w:lineRule="auto" w:before="240" w:after="40"/>
      </w:pPr>
      <w:r>
        <w:rPr>
          <w:rFonts w:ascii="Times New Roman" w:hAnsi="Times New Roman"/>
          <w:b/>
          <w:sz w:val="24"/>
        </w:rPr>
        <w:t>Figura 3</w:t>
      </w:r>
    </w:p>
    <w:p>
      <w:pPr>
        <w:spacing w:line="276" w:lineRule="auto" w:before="0" w:after="120"/>
      </w:pPr>
      <w:r>
        <w:rPr>
          <w:rFonts w:ascii="Times New Roman" w:hAnsi="Times New Roman"/>
          <w:i/>
          <w:sz w:val="24"/>
        </w:rPr>
        <w:t>Diagrama de Casos de Uso e Interacción por Rol en el Portal</w:t>
      </w:r>
    </w:p>
    <w:p>
      <w:pPr>
        <w:spacing w:before="80" w:after="80"/>
        <w:jc w:val="center"/>
      </w:pPr>
      <w:r>
        <w:drawing>
          <wp:inline xmlns:a="http://schemas.openxmlformats.org/drawingml/2006/main" xmlns:pic="http://schemas.openxmlformats.org/drawingml/2006/picture">
            <wp:extent cx="5486400" cy="2560320"/>
            <wp:docPr id="3" name="Picture 3"/>
            <wp:cNvGraphicFramePr>
              <a:graphicFrameLocks noChangeAspect="1"/>
            </wp:cNvGraphicFramePr>
            <a:graphic>
              <a:graphicData uri="http://schemas.openxmlformats.org/drawingml/2006/picture">
                <pic:pic>
                  <pic:nvPicPr>
                    <pic:cNvPr id="0" name="figura3_casos_uso_usuarios.png"/>
                    <pic:cNvPicPr/>
                  </pic:nvPicPr>
                  <pic:blipFill>
                    <a:blip r:embed="rId12"/>
                    <a:stretch>
                      <a:fillRect/>
                    </a:stretch>
                  </pic:blipFill>
                  <pic:spPr>
                    <a:xfrm>
                      <a:off x="0" y="0"/>
                      <a:ext cx="5486400" cy="2560320"/>
                    </a:xfrm>
                    <a:prstGeom prst="rect"/>
                  </pic:spPr>
                </pic:pic>
              </a:graphicData>
            </a:graphic>
          </wp:inline>
        </w:drawing>
      </w:r>
    </w:p>
    <w:p>
      <w:pPr>
        <w:spacing w:line="276" w:lineRule="auto" w:before="80" w:after="240"/>
      </w:pPr>
      <w:r>
        <w:rPr>
          <w:rFonts w:ascii="Times New Roman" w:hAnsi="Times New Roman"/>
          <w:i/>
          <w:sz w:val="20"/>
        </w:rPr>
        <w:t xml:space="preserve">Nota. </w:t>
      </w:r>
      <w:r>
        <w:rPr>
          <w:rFonts w:ascii="Times New Roman" w:hAnsi="Times New Roman"/>
          <w:sz w:val="20"/>
        </w:rPr>
        <w:t>Elaboración propia modelando las interacciones entre actores del negocio y casos de uso del portal.</w:t>
      </w:r>
    </w:p>
    <w:p>
      <w:pPr>
        <w:spacing w:line="480" w:lineRule="auto" w:before="0" w:after="0"/>
        <w:ind w:firstLine="720"/>
        <w:jc w:val="both"/>
      </w:pPr>
      <w:r>
        <w:rPr>
          <w:rFonts w:ascii="Times New Roman" w:hAnsi="Times New Roman"/>
          <w:sz w:val="24"/>
        </w:rPr>
        <w:t>El flujo evidencia que el Cliente Web inicia la cadena de valor mediante los casos de uso CU01 (Consultar catálogo) y CU02 (Reservar cita en línea). Esta acción genera un registro que es consumido en tiempo real por la Recepcionista a través de CU03 (Gestionar agenda y asignar cabina). Paralelamente, los roles de supervisión y dirección interactúan con CU05, CU06 y CU07, alimentando de forma continua los indicadores de gestión estratégica del negocio sin interferir con la operativa de atención al cliente.</w:t>
      </w:r>
    </w:p>
    <w:p>
      <w:pPr>
        <w:spacing w:line="480" w:lineRule="auto" w:before="240" w:after="80"/>
        <w:jc w:val="left"/>
      </w:pPr>
      <w:r>
        <w:rPr>
          <w:rFonts w:ascii="Times New Roman" w:hAnsi="Times New Roman"/>
          <w:b/>
          <w:sz w:val="24"/>
        </w:rPr>
        <w:t>6. Accesibilidad Web y Usabilidad Adaptativa</w:t>
      </w:r>
    </w:p>
    <w:p>
      <w:pPr>
        <w:spacing w:line="480" w:lineRule="auto" w:before="0" w:after="0"/>
        <w:ind w:firstLine="720"/>
        <w:jc w:val="both"/>
      </w:pPr>
      <w:r>
        <w:rPr>
          <w:rFonts w:ascii="Times New Roman" w:hAnsi="Times New Roman"/>
          <w:sz w:val="24"/>
        </w:rPr>
        <w:t>Un portal empresarial que atiende a una comunidad diversa debe asegurar el cumplimiento de las Pautas de Accesibilidad para el Contenido Web (WCAG 2.1, Nivel AA) (W3C, 2018). Para los usuarios de Lush Nails Spa S.A., esto se traduce en medidas concretas de diseño:</w:t>
      </w:r>
    </w:p>
    <w:p>
      <w:pPr>
        <w:spacing w:line="480" w:lineRule="auto" w:before="0" w:after="0"/>
        <w:ind w:firstLine="720"/>
        <w:jc w:val="both"/>
      </w:pPr>
      <w:r>
        <w:rPr>
          <w:rFonts w:ascii="Times New Roman" w:hAnsi="Times New Roman"/>
          <w:sz w:val="24"/>
        </w:rPr>
        <w:t>1. Contraste de Color y Legibilidad: Se emplean paletas cromáticas accesibles (verde esmeralda profundo `#2F4A34` sobre fondo blanco, con un ratio de contraste superior a 7:1 para texto normal), superando con holgura el umbral mínimo de 4.5:1 exigido por WCAG para personas con baja agudeza visual o en entornos con iluminación ambiental exigente.</w:t>
      </w:r>
    </w:p>
    <w:p>
      <w:pPr>
        <w:spacing w:line="480" w:lineRule="auto" w:before="0" w:after="0"/>
        <w:ind w:firstLine="720"/>
        <w:jc w:val="both"/>
      </w:pPr>
      <w:r>
        <w:rPr>
          <w:rFonts w:ascii="Times New Roman" w:hAnsi="Times New Roman"/>
          <w:sz w:val="24"/>
        </w:rPr>
        <w:t>2. Navegación Completa por Teclado y Foco Visible: Los clientes y recepcionistas que navegan sin ratón disponen de indicadores de foco claros (`outline: 3px solid #2F4A34`) y secuencia lógica de tabulación en todos los formularios de agenda y menús desplegables.</w:t>
      </w:r>
    </w:p>
    <w:p>
      <w:pPr>
        <w:spacing w:line="480" w:lineRule="auto" w:before="0" w:after="0"/>
        <w:ind w:firstLine="720"/>
        <w:jc w:val="both"/>
      </w:pPr>
      <w:r>
        <w:rPr>
          <w:rFonts w:ascii="Times New Roman" w:hAnsi="Times New Roman"/>
          <w:sz w:val="24"/>
        </w:rPr>
        <w:t>3. Diseño Responsivo y Áreas de Toque Táctiles: El portal de clientes adapta dinámicamente sus cuadrículas a pantallas móviles, garantizando que botones y campos interactivos posean dimensiones mínimas de 48 x 48 píxeles, facilitando la interacción táctil cómoda.</w:t>
      </w:r>
    </w:p>
    <w:p>
      <w:pPr>
        <w:spacing w:line="480" w:lineRule="auto" w:before="240" w:after="80"/>
        <w:jc w:val="left"/>
      </w:pPr>
      <w:r>
        <w:rPr>
          <w:rFonts w:ascii="Times New Roman" w:hAnsi="Times New Roman"/>
          <w:b/>
          <w:sz w:val="24"/>
        </w:rPr>
        <w:t>7. Conclusiones Técnicas</w:t>
      </w:r>
    </w:p>
    <w:p>
      <w:pPr>
        <w:spacing w:line="480" w:lineRule="auto" w:before="0" w:after="0"/>
        <w:ind w:firstLine="720"/>
        <w:jc w:val="both"/>
      </w:pPr>
      <w:r>
        <w:rPr>
          <w:rFonts w:ascii="Times New Roman" w:hAnsi="Times New Roman"/>
          <w:sz w:val="24"/>
        </w:rPr>
        <w:t>1. La definición rigurosa y caracterización de los usuarios del portal empresarial Lush Nails Spa S.A. confirma que un sistema corporativo exitoso debe armonizar dos experiencias complementarias: un entorno público (B2C) intuitivo, rápido y libre de fricciones para fidelizar al cliente, y una intranet privada (B2E) densa, estructurada y segura para potenciar la productividad operativa de los colaboradores.</w:t>
      </w:r>
    </w:p>
    <w:p>
      <w:pPr>
        <w:spacing w:line="480" w:lineRule="auto" w:before="0" w:after="0"/>
        <w:ind w:firstLine="720"/>
        <w:jc w:val="both"/>
      </w:pPr>
      <w:r>
        <w:rPr>
          <w:rFonts w:ascii="Times New Roman" w:hAnsi="Times New Roman"/>
          <w:sz w:val="24"/>
        </w:rPr>
        <w:t>2. El modelado de User Personas y matrices de trazabilidad permitió identificar requerimientos técnicos críticos (tales como la actualización en tiempo real de la disponibilidad de turnos y la segregación de privilegios mediante RBAC), evitando el desarrollo de funcionalidades superfluas que encarezcan el proyecto sin aportar valor real al negocio.</w:t>
      </w:r>
    </w:p>
    <w:p>
      <w:pPr>
        <w:spacing w:line="480" w:lineRule="auto" w:before="0" w:after="0"/>
        <w:ind w:firstLine="720"/>
        <w:jc w:val="both"/>
      </w:pPr>
      <w:r>
        <w:rPr>
          <w:rFonts w:ascii="Times New Roman" w:hAnsi="Times New Roman"/>
          <w:sz w:val="24"/>
        </w:rPr>
        <w:t>3. La aplicación de estándares de accesibilidad WCAG 2.1 y principios de usabilidad centrada en el usuario garantiza que el portal sea inclusivo, escalable y adoptado con entusiasmo tanto por clientes jóvenes en smartphones como por personal administrativo en counters.</w:t>
      </w:r>
    </w:p>
    <w:p>
      <w:r>
        <w:br w:type="page"/>
      </w:r>
    </w:p>
    <w:p>
      <w:pPr>
        <w:spacing w:line="480" w:lineRule="auto" w:before="240" w:after="120"/>
        <w:jc w:val="center"/>
      </w:pPr>
      <w:r>
        <w:rPr>
          <w:rFonts w:ascii="Times New Roman" w:hAnsi="Times New Roman"/>
          <w:b/>
          <w:sz w:val="24"/>
        </w:rPr>
        <w:t>Referencias</w:t>
      </w:r>
    </w:p>
    <w:p>
      <w:pPr>
        <w:spacing w:line="480" w:lineRule="auto" w:before="0" w:after="0"/>
        <w:ind w:left="720" w:hanging="720"/>
        <w:jc w:val="both"/>
      </w:pPr>
      <w:r>
        <w:rPr>
          <w:rFonts w:ascii="Times New Roman" w:hAnsi="Times New Roman"/>
          <w:sz w:val="24"/>
        </w:rPr>
        <w:t xml:space="preserve">Cooper, A., Reimann, R., Cronin, D., &amp; Noessel, C. (2014). </w:t>
      </w:r>
      <w:r>
        <w:rPr>
          <w:rFonts w:ascii="Times New Roman" w:hAnsi="Times New Roman"/>
          <w:i/>
          <w:sz w:val="24"/>
        </w:rPr>
        <w:t xml:space="preserve">About face: The essentials of interaction design </w:t>
      </w:r>
      <w:r>
        <w:rPr>
          <w:rFonts w:ascii="Times New Roman" w:hAnsi="Times New Roman"/>
          <w:sz w:val="24"/>
        </w:rPr>
        <w:t>(4.ª ed.). John Wiley &amp; Sons.</w:t>
      </w:r>
    </w:p>
    <w:p>
      <w:pPr>
        <w:spacing w:line="480" w:lineRule="auto" w:before="0" w:after="0"/>
        <w:ind w:left="720" w:hanging="720"/>
        <w:jc w:val="both"/>
      </w:pPr>
      <w:r>
        <w:rPr>
          <w:rFonts w:ascii="Times New Roman" w:hAnsi="Times New Roman"/>
          <w:sz w:val="24"/>
        </w:rPr>
        <w:t xml:space="preserve">Kaplan, R. S., &amp; Norton, D. P. (1996). </w:t>
      </w:r>
      <w:r>
        <w:rPr>
          <w:rFonts w:ascii="Times New Roman" w:hAnsi="Times New Roman"/>
          <w:i/>
          <w:sz w:val="24"/>
        </w:rPr>
        <w:t xml:space="preserve">The balanced scorecard: Translating strategy into action. </w:t>
      </w:r>
      <w:r>
        <w:rPr>
          <w:rFonts w:ascii="Times New Roman" w:hAnsi="Times New Roman"/>
          <w:sz w:val="24"/>
        </w:rPr>
        <w:t>Harvard Business Review Press.</w:t>
      </w:r>
    </w:p>
    <w:p>
      <w:pPr>
        <w:spacing w:line="480" w:lineRule="auto" w:before="0" w:after="0"/>
        <w:ind w:left="720" w:hanging="720"/>
        <w:jc w:val="both"/>
      </w:pPr>
      <w:r>
        <w:rPr>
          <w:rFonts w:ascii="Times New Roman" w:hAnsi="Times New Roman"/>
          <w:sz w:val="24"/>
        </w:rPr>
        <w:t xml:space="preserve">Laudon, K. C., &amp; Laudon, J. P. (2022). </w:t>
      </w:r>
      <w:r>
        <w:rPr>
          <w:rFonts w:ascii="Times New Roman" w:hAnsi="Times New Roman"/>
          <w:i/>
          <w:sz w:val="24"/>
        </w:rPr>
        <w:t xml:space="preserve">Sistemas de información gerencial </w:t>
      </w:r>
      <w:r>
        <w:rPr>
          <w:rFonts w:ascii="Times New Roman" w:hAnsi="Times New Roman"/>
          <w:sz w:val="24"/>
        </w:rPr>
        <w:t>(17.ª ed.). Pearson Educación.</w:t>
      </w:r>
    </w:p>
    <w:p>
      <w:pPr>
        <w:spacing w:line="480" w:lineRule="auto" w:before="0" w:after="0"/>
        <w:ind w:left="720" w:hanging="720"/>
        <w:jc w:val="both"/>
      </w:pPr>
      <w:r>
        <w:rPr>
          <w:rFonts w:ascii="Times New Roman" w:hAnsi="Times New Roman"/>
          <w:sz w:val="24"/>
        </w:rPr>
        <w:t xml:space="preserve">Lush Nails Spa S.A. (2026). </w:t>
      </w:r>
      <w:r>
        <w:rPr>
          <w:rFonts w:ascii="Times New Roman" w:hAnsi="Times New Roman"/>
          <w:i/>
          <w:sz w:val="24"/>
        </w:rPr>
        <w:t xml:space="preserve">Especificación de requerimientos y perfiles de usuario del portal web corporativo </w:t>
      </w:r>
      <w:r>
        <w:rPr>
          <w:rFonts w:ascii="Times New Roman" w:hAnsi="Times New Roman"/>
          <w:sz w:val="24"/>
        </w:rPr>
        <w:t>[Documento técnico institucional].</w:t>
      </w:r>
    </w:p>
    <w:p>
      <w:pPr>
        <w:spacing w:line="480" w:lineRule="auto" w:before="0" w:after="0"/>
        <w:ind w:left="720" w:hanging="720"/>
        <w:jc w:val="both"/>
      </w:pPr>
      <w:r>
        <w:rPr>
          <w:rFonts w:ascii="Times New Roman" w:hAnsi="Times New Roman"/>
          <w:sz w:val="24"/>
        </w:rPr>
        <w:t xml:space="preserve">Nielsen, J., &amp; Budiu, R. (2013). </w:t>
      </w:r>
      <w:r>
        <w:rPr>
          <w:rFonts w:ascii="Times New Roman" w:hAnsi="Times New Roman"/>
          <w:i/>
          <w:sz w:val="24"/>
        </w:rPr>
        <w:t xml:space="preserve">Mobile usability. </w:t>
      </w:r>
      <w:r>
        <w:rPr>
          <w:rFonts w:ascii="Times New Roman" w:hAnsi="Times New Roman"/>
          <w:sz w:val="24"/>
        </w:rPr>
        <w:t>New Riders.</w:t>
      </w:r>
    </w:p>
    <w:p>
      <w:pPr>
        <w:spacing w:line="480" w:lineRule="auto" w:before="0" w:after="0"/>
        <w:ind w:left="720" w:hanging="720"/>
        <w:jc w:val="both"/>
      </w:pPr>
      <w:r>
        <w:rPr>
          <w:rFonts w:ascii="Times New Roman" w:hAnsi="Times New Roman"/>
          <w:sz w:val="24"/>
        </w:rPr>
        <w:t xml:space="preserve">Norman, D. A. (2013). </w:t>
      </w:r>
      <w:r>
        <w:rPr>
          <w:rFonts w:ascii="Times New Roman" w:hAnsi="Times New Roman"/>
          <w:i/>
          <w:sz w:val="24"/>
        </w:rPr>
        <w:t xml:space="preserve">The design of everyday things: Revised and expanded edition. </w:t>
      </w:r>
      <w:r>
        <w:rPr>
          <w:rFonts w:ascii="Times New Roman" w:hAnsi="Times New Roman"/>
          <w:sz w:val="24"/>
        </w:rPr>
        <w:t>Basic Books.</w:t>
      </w:r>
    </w:p>
    <w:p>
      <w:pPr>
        <w:spacing w:line="480" w:lineRule="auto" w:before="0" w:after="0"/>
        <w:ind w:left="720" w:hanging="720"/>
        <w:jc w:val="both"/>
      </w:pPr>
      <w:r>
        <w:rPr>
          <w:rFonts w:ascii="Times New Roman" w:hAnsi="Times New Roman"/>
          <w:sz w:val="24"/>
        </w:rPr>
        <w:t xml:space="preserve">Pressman, R. S., &amp; Maxim, B. R. (2020). </w:t>
      </w:r>
      <w:r>
        <w:rPr>
          <w:rFonts w:ascii="Times New Roman" w:hAnsi="Times New Roman"/>
          <w:i/>
          <w:sz w:val="24"/>
        </w:rPr>
        <w:t xml:space="preserve">Ingeniería del software: Un enfoque práctico </w:t>
      </w:r>
      <w:r>
        <w:rPr>
          <w:rFonts w:ascii="Times New Roman" w:hAnsi="Times New Roman"/>
          <w:sz w:val="24"/>
        </w:rPr>
        <w:t>(9.ª ed.). McGraw-Hill Education.</w:t>
      </w:r>
    </w:p>
    <w:p>
      <w:pPr>
        <w:spacing w:line="480" w:lineRule="auto" w:before="0" w:after="0"/>
        <w:ind w:left="720" w:hanging="720"/>
        <w:jc w:val="both"/>
      </w:pPr>
      <w:r>
        <w:rPr>
          <w:rFonts w:ascii="Times New Roman" w:hAnsi="Times New Roman"/>
          <w:sz w:val="24"/>
        </w:rPr>
        <w:t xml:space="preserve">Sommerville, I. (2021). </w:t>
      </w:r>
      <w:r>
        <w:rPr>
          <w:rFonts w:ascii="Times New Roman" w:hAnsi="Times New Roman"/>
          <w:i/>
          <w:sz w:val="24"/>
        </w:rPr>
        <w:t xml:space="preserve">Ingeniería de software </w:t>
      </w:r>
      <w:r>
        <w:rPr>
          <w:rFonts w:ascii="Times New Roman" w:hAnsi="Times New Roman"/>
          <w:sz w:val="24"/>
        </w:rPr>
        <w:t>(10.ª ed.). Pearson Educación.</w:t>
      </w:r>
    </w:p>
    <w:p>
      <w:pPr>
        <w:spacing w:line="480" w:lineRule="auto" w:before="0" w:after="0"/>
        <w:ind w:left="720" w:hanging="720"/>
        <w:jc w:val="both"/>
      </w:pPr>
      <w:r>
        <w:rPr>
          <w:rFonts w:ascii="Times New Roman" w:hAnsi="Times New Roman"/>
          <w:sz w:val="24"/>
        </w:rPr>
        <w:t xml:space="preserve">World Wide Web Consortium. (2018). </w:t>
      </w:r>
      <w:r>
        <w:rPr>
          <w:rFonts w:ascii="Times New Roman" w:hAnsi="Times New Roman"/>
          <w:i/>
          <w:sz w:val="24"/>
        </w:rPr>
        <w:t xml:space="preserve">Web Content Accessibility Guidelines (WCAG) 2.1. </w:t>
      </w:r>
      <w:r>
        <w:rPr>
          <w:rFonts w:ascii="Times New Roman" w:hAnsi="Times New Roman"/>
          <w:sz w:val="24"/>
        </w:rPr>
        <w:t>W3C Recommendation. https://www.w3.org/TR/WCAG21/</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