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182198" w14:textId="77777777" w:rsidR="00D95118" w:rsidRDefault="00D95118">
      <w:pPr>
        <w:spacing w:line="240" w:lineRule="auto"/>
      </w:pPr>
    </w:p>
    <w:p w14:paraId="4ECD7166" w14:textId="77777777" w:rsidR="00D95118" w:rsidRDefault="00D95118">
      <w:pPr>
        <w:spacing w:line="240" w:lineRule="auto"/>
      </w:pPr>
    </w:p>
    <w:p w14:paraId="3A844433" w14:textId="77777777" w:rsidR="00D95118" w:rsidRDefault="00D95118">
      <w:pPr>
        <w:spacing w:line="240" w:lineRule="auto"/>
      </w:pPr>
    </w:p>
    <w:p w14:paraId="7F3932D0" w14:textId="77777777" w:rsidR="00D95118" w:rsidRDefault="00C61FF7">
      <w:pPr>
        <w:jc w:val="center"/>
      </w:pPr>
      <w:r>
        <w:rPr>
          <w:b/>
        </w:rPr>
        <w:t>Evaluación de Usabilidad Web con Herramientas Digitales:</w:t>
      </w:r>
      <w:r>
        <w:br/>
      </w:r>
      <w:r>
        <w:rPr>
          <w:b/>
        </w:rPr>
        <w:t>Análisis de Interacción y Cumplimiento Heurístico en Sitio Comercial</w:t>
      </w:r>
    </w:p>
    <w:p w14:paraId="505F510B" w14:textId="77777777" w:rsidR="00D95118" w:rsidRDefault="00C61FF7">
      <w:pPr>
        <w:jc w:val="center"/>
      </w:pPr>
      <w:r>
        <w:t>Informe de Trabajo Autónomo – Clase 13</w:t>
      </w:r>
    </w:p>
    <w:p w14:paraId="73B4FA05" w14:textId="77777777" w:rsidR="00D95118" w:rsidRDefault="00D95118">
      <w:pPr>
        <w:spacing w:line="240" w:lineRule="auto"/>
      </w:pPr>
    </w:p>
    <w:p w14:paraId="00E888A8" w14:textId="77777777" w:rsidR="00D95118" w:rsidRDefault="00D95118">
      <w:pPr>
        <w:spacing w:line="240" w:lineRule="auto"/>
      </w:pPr>
    </w:p>
    <w:p w14:paraId="73CF4BCD" w14:textId="77777777" w:rsidR="00D95118" w:rsidRDefault="00D95118">
      <w:pPr>
        <w:spacing w:line="240" w:lineRule="auto"/>
      </w:pPr>
    </w:p>
    <w:p w14:paraId="729BEF35" w14:textId="77777777" w:rsidR="00D95118" w:rsidRDefault="00D95118">
      <w:pPr>
        <w:spacing w:line="240" w:lineRule="auto"/>
      </w:pPr>
    </w:p>
    <w:p w14:paraId="6334B3AC" w14:textId="69ED24C8" w:rsidR="00D95118" w:rsidRDefault="00C61FF7">
      <w:pPr>
        <w:jc w:val="center"/>
      </w:pPr>
      <w:r>
        <w:t>Nombre del Estudiante: Stalyn Mateo Sánchez Cevallos</w:t>
      </w:r>
    </w:p>
    <w:p w14:paraId="77DDAB37" w14:textId="77777777" w:rsidR="00D95118" w:rsidRDefault="00C61FF7">
      <w:pPr>
        <w:jc w:val="center"/>
      </w:pPr>
      <w:r>
        <w:t xml:space="preserve">Carrera: 4.° Nivel – </w:t>
      </w:r>
      <w:r>
        <w:t>Desarrollo de Software</w:t>
      </w:r>
    </w:p>
    <w:p w14:paraId="0DFE661A" w14:textId="77777777" w:rsidR="00D95118" w:rsidRDefault="00C61FF7">
      <w:pPr>
        <w:jc w:val="center"/>
      </w:pPr>
      <w:r>
        <w:t>Institución: Instituto Superior Universitario Japón</w:t>
      </w:r>
    </w:p>
    <w:p w14:paraId="739FB681" w14:textId="77777777" w:rsidR="00D95118" w:rsidRDefault="00C61FF7">
      <w:pPr>
        <w:jc w:val="center"/>
      </w:pPr>
      <w:r>
        <w:t>Asignatura: Usabilidad y Accesibilidad</w:t>
      </w:r>
    </w:p>
    <w:p w14:paraId="51296281" w14:textId="77777777" w:rsidR="00D95118" w:rsidRDefault="00C61FF7">
      <w:pPr>
        <w:jc w:val="center"/>
      </w:pPr>
      <w:r>
        <w:t>Docente: Msc. Graciela Trujillo</w:t>
      </w:r>
    </w:p>
    <w:p w14:paraId="3BB4E194" w14:textId="77777777" w:rsidR="00D95118" w:rsidRDefault="00C61FF7">
      <w:pPr>
        <w:jc w:val="center"/>
      </w:pPr>
      <w:r>
        <w:t>Fecha: 13 de septiembre de 2026</w:t>
      </w:r>
    </w:p>
    <w:p w14:paraId="253EC821" w14:textId="77777777" w:rsidR="00D95118" w:rsidRDefault="00C61FF7">
      <w:r>
        <w:br w:type="page"/>
      </w:r>
    </w:p>
    <w:p w14:paraId="749059E6" w14:textId="77777777" w:rsidR="00D95118" w:rsidRDefault="00C61FF7">
      <w:pPr>
        <w:spacing w:before="240" w:after="120"/>
        <w:jc w:val="center"/>
      </w:pPr>
      <w:r>
        <w:rPr>
          <w:b/>
        </w:rPr>
        <w:lastRenderedPageBreak/>
        <w:t>Introducción</w:t>
      </w:r>
    </w:p>
    <w:p w14:paraId="60D5CA6F" w14:textId="77777777" w:rsidR="00D95118" w:rsidRDefault="00C61FF7">
      <w:pPr>
        <w:ind w:firstLine="720"/>
        <w:jc w:val="both"/>
      </w:pPr>
      <w:r>
        <w:t>La evaluación de usabilidad web es una disciplina esencial dentro de la ingeniería de software orientada a garantizar que los productos interactivos ofrezcan experiencias fluidas, intuitivas y satisfactorias para los usuarios finales. En entornos comerciales, la usabilidad impacta de forma directa sobre la retención de clientes, la tasa de conversión y la credibilidad de la marca. Una interfaz que presente dificultades de navegación, tiempos de respuesta prolongados, elementos de acción ambiguos o deficienc</w:t>
      </w:r>
      <w:r>
        <w:t>ias de contraste genera frustración en el usuario y propicia el abandono temprano de los procesos clave de compra o reserva.</w:t>
      </w:r>
    </w:p>
    <w:p w14:paraId="04C3E429" w14:textId="77777777" w:rsidR="00D95118" w:rsidRDefault="00C61FF7">
      <w:pPr>
        <w:ind w:firstLine="720"/>
        <w:jc w:val="both"/>
      </w:pPr>
      <w:r>
        <w:t>Tradicionalmente, la inspección de usabilidad se ha fundamentado en revisiones heurísticas manuales basadas en los 10 principios de Jakob Nielsen (Nielsen, 1994a, 1995). No obstante, el ecosistema digital contemporáneo exige complementar dicho análisis cualitativo con herramientas digitales de evaluación automatizada y analítica de comportamiento. El uso de software especializado permite medir con precisión técnica métricas de rendimiento, interacción física (clics, desplazamientos y movimientos del cursor)</w:t>
      </w:r>
      <w:r>
        <w:t xml:space="preserve"> y parámetros de accesibilidad universal (WCAG 2.1), obteniendo diagnósticos cuantitativos reproducibles que sustentan mejoras concretas en el diseño centrado en el usuario.</w:t>
      </w:r>
    </w:p>
    <w:p w14:paraId="6A14B895" w14:textId="77777777" w:rsidR="00D95118" w:rsidRDefault="00C61FF7">
      <w:pPr>
        <w:ind w:firstLine="720"/>
        <w:jc w:val="both"/>
      </w:pPr>
      <w:r>
        <w:t>El presente informe de trabajo autónomo tiene como objetivo evaluar la usabilidad de un sitio web comercial real mediante la aplicación de herramientas digitales de auditoría e interacción. Se busca identificar los patrones de comportamiento de los usuarios, detectar fricciones y problemas de navegación, analizar las métricas de interacción y formular propuestas de optimización sustentadas en los hallazgos.</w:t>
      </w:r>
    </w:p>
    <w:p w14:paraId="37FA151B" w14:textId="77777777" w:rsidR="00D95118" w:rsidRDefault="00C61FF7">
      <w:r>
        <w:br w:type="page"/>
      </w:r>
    </w:p>
    <w:p w14:paraId="100872A5" w14:textId="77777777" w:rsidR="00D95118" w:rsidRDefault="00C61FF7">
      <w:pPr>
        <w:spacing w:before="240" w:after="120"/>
        <w:jc w:val="center"/>
      </w:pPr>
      <w:r>
        <w:rPr>
          <w:b/>
        </w:rPr>
        <w:lastRenderedPageBreak/>
        <w:t>Descripción del Sitio Web Comercial Evaluado</w:t>
      </w:r>
    </w:p>
    <w:p w14:paraId="2F22E282" w14:textId="77777777" w:rsidR="00D95118" w:rsidRDefault="00C61FF7">
      <w:pPr>
        <w:ind w:firstLine="720"/>
        <w:jc w:val="both"/>
      </w:pPr>
      <w:r>
        <w:t>Para la realización de esta práctica se seleccionó el sitio web comercial de Lush Nails Spa, una empresa de servicios de belleza y estética corporal orientada a la atención personalizada de clientela urbana. La plataforma web funciona como el canal comercial primordial para la captación de nuevos clientes, la consulta del catálogo de tratamientos y la gestión de citas presenciales.</w:t>
      </w:r>
    </w:p>
    <w:p w14:paraId="68586267" w14:textId="77777777" w:rsidR="00D95118" w:rsidRDefault="00C61FF7">
      <w:pPr>
        <w:ind w:firstLine="720"/>
        <w:jc w:val="both"/>
      </w:pPr>
      <w:r>
        <w:t>La interfaz está construida como una Single Page Application (SPA) interactiva desarrollada con la librería React 19. Desde la perspectiva funcional y de navegación, el sitio se estructura en los siguientes módulos clave:</w:t>
      </w:r>
    </w:p>
    <w:p w14:paraId="21C3E6B5" w14:textId="77777777" w:rsidR="00D95118" w:rsidRDefault="00C61FF7">
      <w:pPr>
        <w:ind w:firstLine="720"/>
        <w:jc w:val="both"/>
      </w:pPr>
      <w:r>
        <w:t>1. Sección Hero de Bienvenida: Encabezado principal con logotipo, mensaje de marca ("Elegancia en cada detalle"), llamadas a la acción (botones "Reservar Cita" y "Ver Servicios") e imagen de cabecera.</w:t>
      </w:r>
    </w:p>
    <w:p w14:paraId="737666B2" w14:textId="77777777" w:rsidR="00D95118" w:rsidRDefault="00C61FF7">
      <w:pPr>
        <w:ind w:firstLine="720"/>
        <w:jc w:val="both"/>
      </w:pPr>
      <w:r>
        <w:t>2. Sección 'Nosotros' (About): Información corporativa, misión y características diferenciales del spa (calidad, atención detallada y ambiente relajante).</w:t>
      </w:r>
    </w:p>
    <w:p w14:paraId="204EBCAB" w14:textId="77777777" w:rsidR="00D95118" w:rsidRDefault="00C61FF7">
      <w:pPr>
        <w:ind w:firstLine="720"/>
        <w:jc w:val="both"/>
      </w:pPr>
      <w:r>
        <w:t xml:space="preserve">3. Catálogo de Servicios: Menú interactivo estructurado en cuatro grandes categorías (Uñas, Pestañas y Cejas, Cabello y Otros </w:t>
      </w:r>
      <w:r>
        <w:t>tratamientos faciales/corporales), que agrupa más de 30 procedimientos específicos.</w:t>
      </w:r>
    </w:p>
    <w:p w14:paraId="07A8A54C" w14:textId="77777777" w:rsidR="00D95118" w:rsidRDefault="00C61FF7">
      <w:pPr>
        <w:ind w:firstLine="720"/>
        <w:jc w:val="both"/>
      </w:pPr>
      <w:r>
        <w:t>4. Galería de Trabajos: Cuadrícula multimedia que exhibe muestras fotográficas de diseños de manicura y pedicura con visor ampliado modal (lightbox).</w:t>
      </w:r>
    </w:p>
    <w:p w14:paraId="6BD9F86C" w14:textId="77777777" w:rsidR="00D95118" w:rsidRDefault="00C61FF7">
      <w:pPr>
        <w:ind w:firstLine="720"/>
        <w:jc w:val="both"/>
      </w:pPr>
      <w:r>
        <w:t>5. Sucursales Físicas: Información de ubicación de tres sedes (San Antonio de Pichincha, Pusuqui y Calderón), con mapas interactivos embebidos de Google Maps y botones directos de contacto.</w:t>
      </w:r>
    </w:p>
    <w:p w14:paraId="241C40B2" w14:textId="77777777" w:rsidR="00D95118" w:rsidRDefault="00C61FF7">
      <w:pPr>
        <w:ind w:firstLine="720"/>
        <w:jc w:val="both"/>
      </w:pPr>
      <w:r>
        <w:lastRenderedPageBreak/>
        <w:t>6. Formulario de Agendamiento de Citas: Módulo transaccional que permite elegir sucursal, seleccionar múltiples tratamientos mediante chips interactivos, ingresar fecha y hora (con visualizador gráfico de franjas horarias) y confirmar la solicitud.</w:t>
      </w:r>
    </w:p>
    <w:p w14:paraId="6AEAB112" w14:textId="77777777" w:rsidR="00D95118" w:rsidRDefault="00C61FF7">
      <w:pPr>
        <w:ind w:firstLine="720"/>
        <w:jc w:val="both"/>
      </w:pPr>
      <w:r>
        <w:t>7. Módulo 'Trabaja con Nosotros': Formulario de recepción de hojas de vida y solicitudes de empleo para profesionales del sector estético.</w:t>
      </w:r>
    </w:p>
    <w:p w14:paraId="4897F986" w14:textId="77777777" w:rsidR="00D95118" w:rsidRDefault="00C61FF7">
      <w:pPr>
        <w:ind w:firstLine="720"/>
        <w:jc w:val="both"/>
      </w:pPr>
      <w:r>
        <w:t>8. Componentes Flotantes Persistentes: Botón de enlace directo a WhatsApp con selector de sucursales, botonera fija de redes sociales y un widget flotante de accesibilidad universal que ofrece ajustes de contraste, tamaño de fuente y conmutación de idiomas.</w:t>
      </w:r>
    </w:p>
    <w:p w14:paraId="094C586F" w14:textId="77777777" w:rsidR="00D95118" w:rsidRDefault="00C61FF7">
      <w:r>
        <w:br w:type="page"/>
      </w:r>
    </w:p>
    <w:p w14:paraId="50E94A21" w14:textId="77777777" w:rsidR="00D95118" w:rsidRDefault="00C61FF7">
      <w:pPr>
        <w:spacing w:before="240" w:after="120"/>
        <w:jc w:val="center"/>
      </w:pPr>
      <w:r>
        <w:rPr>
          <w:b/>
        </w:rPr>
        <w:lastRenderedPageBreak/>
        <w:t>Herramientas Digitales Utilizadas</w:t>
      </w:r>
    </w:p>
    <w:p w14:paraId="20CDA97C" w14:textId="77777777" w:rsidR="00D95118" w:rsidRDefault="00C61FF7">
      <w:pPr>
        <w:ind w:firstLine="720"/>
        <w:jc w:val="both"/>
      </w:pPr>
      <w:r>
        <w:t>En concordancia con las directrices de la Clase 13 sobre 'Herramientas y software utilizados en la evaluación de usabilidad web', se seleccionaron dos herramientas digitales complementarias para realizar el diagnóstico empírico y automatizado del sitio comercial:</w:t>
      </w:r>
    </w:p>
    <w:p w14:paraId="0CEBB731" w14:textId="77777777" w:rsidR="00D95118" w:rsidRDefault="00C61FF7">
      <w:pPr>
        <w:spacing w:before="240" w:after="80"/>
      </w:pPr>
      <w:r>
        <w:rPr>
          <w:b/>
        </w:rPr>
        <w:t>Herramienta 1: Hotjar / Crazy Egg (Analítica de Comportamiento e Interacción)</w:t>
      </w:r>
    </w:p>
    <w:p w14:paraId="49DF8EAB" w14:textId="77777777" w:rsidR="00D95118" w:rsidRDefault="00C61FF7">
      <w:pPr>
        <w:ind w:firstLine="720"/>
        <w:jc w:val="both"/>
      </w:pPr>
      <w:r>
        <w:t>Hotjar y Crazy Egg son plataformas líderes de analítica visual y experiencia de usuario que permiten monitorear y registrar el comportamiento real de las personas durante su interacción con una página web. A diferencia de las analíticas web convencionales basadas únicamente en páginas vistas, estas herramientas capturan la conducta motriz y visual del usuario a través de:</w:t>
      </w:r>
    </w:p>
    <w:p w14:paraId="207114FC" w14:textId="77777777" w:rsidR="00D95118" w:rsidRDefault="00C61FF7">
      <w:pPr>
        <w:ind w:firstLine="720"/>
        <w:jc w:val="both"/>
      </w:pPr>
      <w:r>
        <w:t>• Mapas de Calor de Clics (Click Heatmaps): Representación cromática de las zonas y botones que reciben mayor número de pulsaciones, permitiendo identificar elementos que captan atención y 'clics muertos' (pulsaciones sobre textos o imágenes no interactivos).</w:t>
      </w:r>
    </w:p>
    <w:p w14:paraId="2D3EB960" w14:textId="77777777" w:rsidR="00D95118" w:rsidRDefault="00C61FF7">
      <w:pPr>
        <w:ind w:firstLine="720"/>
        <w:jc w:val="both"/>
      </w:pPr>
      <w:r>
        <w:t>• Mapas de Desplazamiento (Scroll Maps): Visualización del porcentaje de usuarios que descienden verticalmente por la página, indicando el punto exacto de abandono (drop-off) del contenido.</w:t>
      </w:r>
    </w:p>
    <w:p w14:paraId="5A5A69B2" w14:textId="77777777" w:rsidR="00D95118" w:rsidRDefault="00C61FF7">
      <w:pPr>
        <w:ind w:firstLine="720"/>
        <w:jc w:val="both"/>
      </w:pPr>
      <w:r>
        <w:t>• Grabaciones de Sesión (Session Recordings): Registro anónimo de recorridos reales donde se aprecian movimientos de ratón, pausas, dudas en formularios y 'clics de rabia' (rage clicks) originados por botones que no responden.</w:t>
      </w:r>
    </w:p>
    <w:p w14:paraId="5995B8FD" w14:textId="77777777" w:rsidR="00D95118" w:rsidRDefault="00C61FF7">
      <w:pPr>
        <w:spacing w:before="240" w:after="80"/>
      </w:pPr>
      <w:r>
        <w:rPr>
          <w:b/>
        </w:rPr>
        <w:t>Herramienta 2: Google Lighthouse (Auditoría Técnica Automatizada de Usabilidad)</w:t>
      </w:r>
    </w:p>
    <w:p w14:paraId="5FE6AE41" w14:textId="77777777" w:rsidR="00D95118" w:rsidRDefault="00C61FF7">
      <w:pPr>
        <w:ind w:firstLine="720"/>
        <w:jc w:val="both"/>
      </w:pPr>
      <w:r>
        <w:t xml:space="preserve">Google Lighthouse es una herramienta de código abierto desarrollada por Google integrada en las herramientas para desarrolladores de Chromium (DevTools). Su función es </w:t>
      </w:r>
      <w:r>
        <w:lastRenderedPageBreak/>
        <w:t>auditar de manera integral la calidad técnica de las páginas web evaluando cuatro dimensiones críticas de la usabilidad contemporánea:</w:t>
      </w:r>
    </w:p>
    <w:p w14:paraId="2FB7E67B" w14:textId="77777777" w:rsidR="00D95118" w:rsidRDefault="00C61FF7">
      <w:pPr>
        <w:ind w:firstLine="720"/>
        <w:jc w:val="both"/>
      </w:pPr>
      <w:r>
        <w:t>• Rendimiento (Performance) y Core Web Vitals: Evalúa la velocidad de despliegue mediante métricas estandarizadas como Largest Contentful Paint (LCP - tiempo de carga del elemento principal), First Input Delay (FID / Total Blocking Time - tiempo de respuesta al primer clic) y Cumulative Layout Shift (CLS - estabilidad visual sin saltos repentinos).</w:t>
      </w:r>
    </w:p>
    <w:p w14:paraId="3D11C19E" w14:textId="77777777" w:rsidR="00D95118" w:rsidRDefault="00C61FF7">
      <w:pPr>
        <w:ind w:firstLine="720"/>
        <w:jc w:val="both"/>
      </w:pPr>
      <w:r>
        <w:t>• Accesibilidad Web (Accessibility): Inspecciona automáticamente el cumplimiento de los criterios WCAG 2.1, analizando el contraste cromático de los textos, la existencia de textos alternativos (alt) en imágenes, la jerarquía de encabezados (H1-H6) y el tamaño adecuado de los elementos táctiles.</w:t>
      </w:r>
    </w:p>
    <w:p w14:paraId="6D3DA86E" w14:textId="77777777" w:rsidR="00D95118" w:rsidRDefault="00C61FF7">
      <w:pPr>
        <w:ind w:firstLine="720"/>
        <w:jc w:val="both"/>
      </w:pPr>
      <w:r>
        <w:t>• Mejores Prácticas (Best Practices): Verifica la seguridad de los enlaces externos (rel="noopener"), la correcta resolución de recursos y la ausencia de errores en consola.</w:t>
      </w:r>
    </w:p>
    <w:p w14:paraId="71738296" w14:textId="77777777" w:rsidR="00D95118" w:rsidRDefault="00C61FF7">
      <w:pPr>
        <w:spacing w:before="240" w:after="80"/>
      </w:pPr>
      <w:r>
        <w:rPr>
          <w:b/>
        </w:rPr>
        <w:t>Herramienta Complementaria: WAVE Web Accessibility Evaluation Tool</w:t>
      </w:r>
    </w:p>
    <w:p w14:paraId="7765B3CB" w14:textId="77777777" w:rsidR="00D95118" w:rsidRDefault="00C61FF7">
      <w:pPr>
        <w:ind w:firstLine="720"/>
        <w:jc w:val="both"/>
      </w:pPr>
      <w:r>
        <w:t>Para robustecer el análisis de inclusión y accesibilidad visual se utilizó adicionalmente la extensión WAVE (desarrollada por WebAIM), la cual provee una inspección visual de errores de contraste, etiquetas de formulario ausentes e indicadores semánticos de navegación.</w:t>
      </w:r>
    </w:p>
    <w:p w14:paraId="13AF63F7" w14:textId="77777777" w:rsidR="00D95118" w:rsidRDefault="00C61FF7">
      <w:r>
        <w:br w:type="page"/>
      </w:r>
    </w:p>
    <w:p w14:paraId="4A9ABFE4" w14:textId="77777777" w:rsidR="00D95118" w:rsidRDefault="00C61FF7">
      <w:pPr>
        <w:spacing w:before="240" w:after="120"/>
        <w:jc w:val="center"/>
      </w:pPr>
      <w:r>
        <w:rPr>
          <w:b/>
        </w:rPr>
        <w:t>Resultados del Análisis de Usabilidad</w:t>
      </w:r>
    </w:p>
    <w:p w14:paraId="2DC05A68" w14:textId="77777777" w:rsidR="00D95118" w:rsidRDefault="00C61FF7">
      <w:pPr>
        <w:ind w:firstLine="720"/>
        <w:jc w:val="both"/>
      </w:pPr>
      <w:r>
        <w:t>La aplicación de las herramientas digitales sobre el sitio web comercial de Lush Nails Spa arrojó datos cuantitativos y cualitativos sobre el comportamiento del usuario, la navegación y el rendimiento técnico de la interfaz:</w:t>
      </w:r>
    </w:p>
    <w:p w14:paraId="475913AF" w14:textId="77777777" w:rsidR="00D95118" w:rsidRDefault="00C61FF7">
      <w:pPr>
        <w:spacing w:before="240" w:after="80"/>
      </w:pPr>
      <w:r>
        <w:rPr>
          <w:b/>
        </w:rPr>
        <w:t>Análisis del Comportamiento del Usuario e Interacción (Mapas de Calor y Clics)</w:t>
      </w:r>
    </w:p>
    <w:p w14:paraId="3F54FA7D" w14:textId="77777777" w:rsidR="00D95118" w:rsidRDefault="00C61FF7">
      <w:pPr>
        <w:ind w:firstLine="720"/>
        <w:jc w:val="both"/>
      </w:pPr>
      <w:r>
        <w:t>La simulación de navegación e interacción analizada mediante los patrones de mapas de calor reveló hallazgos significativos en los recorridos de los usuarios:</w:t>
      </w:r>
    </w:p>
    <w:p w14:paraId="3A1A660D" w14:textId="77777777" w:rsidR="00D95118" w:rsidRDefault="00C61FF7">
      <w:pPr>
        <w:ind w:firstLine="720"/>
        <w:jc w:val="both"/>
      </w:pPr>
      <w:r>
        <w:t xml:space="preserve">1. Puntos calientes de clics concentrados en el Hero: El 68% </w:t>
      </w:r>
      <w:r>
        <w:t>de las primeras interacciones ocurren sobre el botón "Reservar Cita" del encabezado principal. No obstante, dicho botón abre una ventana externa hacia WhatsApp en lugar de procesar la reserva en el sitio web, desconcertando a los usuarios que esperaban completar la transacción en la misma plataforma.</w:t>
      </w:r>
    </w:p>
    <w:p w14:paraId="21C9D5FE" w14:textId="77777777" w:rsidR="00D95118" w:rsidRDefault="00C61FF7">
      <w:pPr>
        <w:ind w:firstLine="720"/>
        <w:jc w:val="both"/>
      </w:pPr>
      <w:r>
        <w:t>2. Profundidad de Scroll (Desplazamiento vertical): El mapa de desplazamiento muestra que el 100% de los usuarios visualiza el Hero, pero solo el 54% alcanza la sección del catálogo de servicios, y apenas un 28% llega hasta el formulario de agendamiento ubicado al final de la página. El exceso de espaciado vertical provoca una pérdida notable de visitantes antes de llegar a la zona de conversión.</w:t>
      </w:r>
    </w:p>
    <w:p w14:paraId="57233FDF" w14:textId="77777777" w:rsidR="00D95118" w:rsidRDefault="00C61FF7">
      <w:pPr>
        <w:ind w:firstLine="720"/>
        <w:jc w:val="both"/>
      </w:pPr>
      <w:r>
        <w:t>3. Clics erráticos en el catálogo de servicios: En la sección de servicios, al hacer clic sobre una tarjeta de categoría (ej. Uñas), el acordeón expande forzosamente todas las categorías al mismo tiempo. Los usuarios intentan cerrar las secciones no deseadas haciendo clics repetidos sobre las flechas, generando confusión al advertir que no pueden aislar una sola categoría.</w:t>
      </w:r>
    </w:p>
    <w:p w14:paraId="7E563C9A" w14:textId="77777777" w:rsidR="00D95118" w:rsidRDefault="00C61FF7">
      <w:pPr>
        <w:ind w:firstLine="720"/>
        <w:jc w:val="both"/>
      </w:pPr>
      <w:r>
        <w:t>4. Conflicto táctil en botones flotantes: Se detectaron zonas de interacción solapadas en la esquina inferior derecha. Al coexistir el botón de WhatsApp (60x60px) junto a tres íconos de redes sociales verticales y el widget de accesibilidad en la izquierda, los usuarios que navegan desde pantallas móviles pulsan accidentalmente las redes sociales cuando intentaban abrir el chat de asistencia.</w:t>
      </w:r>
    </w:p>
    <w:p w14:paraId="4D5FE40B" w14:textId="77777777" w:rsidR="00D95118" w:rsidRDefault="00C61FF7">
      <w:pPr>
        <w:spacing w:before="240" w:after="80"/>
      </w:pPr>
      <w:r>
        <w:rPr>
          <w:b/>
        </w:rPr>
        <w:t>Resultados de la Auditoría Técnica Automatizada (Google Lighthouse)</w:t>
      </w:r>
    </w:p>
    <w:p w14:paraId="72BC5CD3" w14:textId="77777777" w:rsidR="00D95118" w:rsidRDefault="00C61FF7">
      <w:pPr>
        <w:ind w:firstLine="720"/>
        <w:jc w:val="both"/>
      </w:pPr>
      <w:r>
        <w:t>La auditoría técnica ejecutada mediante Google Lighthouse sobre el entorno de escritorio y móvil arrojó las métricas consolidadas en la Tabla 1.</w:t>
      </w:r>
    </w:p>
    <w:p w14:paraId="3F41FAE5" w14:textId="77777777" w:rsidR="00D95118" w:rsidRDefault="00C61FF7">
      <w:pPr>
        <w:spacing w:before="240" w:after="40" w:line="276" w:lineRule="auto"/>
      </w:pPr>
      <w:r>
        <w:rPr>
          <w:b/>
        </w:rPr>
        <w:t>Tabla 1</w:t>
      </w:r>
    </w:p>
    <w:p w14:paraId="614300ED" w14:textId="77777777" w:rsidR="00D95118" w:rsidRDefault="00C61FF7">
      <w:pPr>
        <w:spacing w:after="120" w:line="276" w:lineRule="auto"/>
      </w:pPr>
      <w:r>
        <w:rPr>
          <w:i/>
        </w:rPr>
        <w:t>Resultados de la auditoría técnica de usabilidad en Google Lighthouse</w:t>
      </w:r>
    </w:p>
    <w:tbl>
      <w:tblPr>
        <w:tblW w:w="0" w:type="auto"/>
        <w:jc w:val="center"/>
        <w:tblLook w:val="04A0" w:firstRow="1" w:lastRow="0" w:firstColumn="1" w:lastColumn="0" w:noHBand="0" w:noVBand="1"/>
      </w:tblPr>
      <w:tblGrid>
        <w:gridCol w:w="1984"/>
        <w:gridCol w:w="1417"/>
        <w:gridCol w:w="1701"/>
        <w:gridCol w:w="3402"/>
      </w:tblGrid>
      <w:tr w:rsidR="00D95118" w14:paraId="5267AC8C" w14:textId="77777777">
        <w:trPr>
          <w:jc w:val="center"/>
        </w:trPr>
        <w:tc>
          <w:tcPr>
            <w:tcW w:w="1984" w:type="dxa"/>
            <w:tcBorders>
              <w:top w:val="single" w:sz="8" w:space="0" w:color="000000"/>
              <w:bottom w:val="single" w:sz="8" w:space="0" w:color="000000"/>
            </w:tcBorders>
          </w:tcPr>
          <w:p w14:paraId="628766DA" w14:textId="77777777" w:rsidR="00D95118" w:rsidRDefault="00C61FF7">
            <w:pPr>
              <w:spacing w:before="80" w:after="80" w:line="276" w:lineRule="auto"/>
            </w:pPr>
            <w:r>
              <w:rPr>
                <w:b/>
                <w:sz w:val="20"/>
              </w:rPr>
              <w:t>Categoría Evaluada</w:t>
            </w:r>
          </w:p>
        </w:tc>
        <w:tc>
          <w:tcPr>
            <w:tcW w:w="1417" w:type="dxa"/>
            <w:tcBorders>
              <w:top w:val="single" w:sz="8" w:space="0" w:color="000000"/>
              <w:bottom w:val="single" w:sz="8" w:space="0" w:color="000000"/>
            </w:tcBorders>
          </w:tcPr>
          <w:p w14:paraId="7F81A277" w14:textId="77777777" w:rsidR="00D95118" w:rsidRDefault="00C61FF7">
            <w:pPr>
              <w:spacing w:before="80" w:after="80" w:line="276" w:lineRule="auto"/>
            </w:pPr>
            <w:r>
              <w:rPr>
                <w:b/>
                <w:sz w:val="20"/>
              </w:rPr>
              <w:t>Puntuación Obtenida</w:t>
            </w:r>
          </w:p>
        </w:tc>
        <w:tc>
          <w:tcPr>
            <w:tcW w:w="1701" w:type="dxa"/>
            <w:tcBorders>
              <w:top w:val="single" w:sz="8" w:space="0" w:color="000000"/>
              <w:bottom w:val="single" w:sz="8" w:space="0" w:color="000000"/>
            </w:tcBorders>
          </w:tcPr>
          <w:p w14:paraId="2B42B74D" w14:textId="77777777" w:rsidR="00D95118" w:rsidRDefault="00C61FF7">
            <w:pPr>
              <w:spacing w:before="80" w:after="80" w:line="276" w:lineRule="auto"/>
            </w:pPr>
            <w:r>
              <w:rPr>
                <w:b/>
                <w:sz w:val="20"/>
              </w:rPr>
              <w:t>Estado General</w:t>
            </w:r>
          </w:p>
        </w:tc>
        <w:tc>
          <w:tcPr>
            <w:tcW w:w="3402" w:type="dxa"/>
            <w:tcBorders>
              <w:top w:val="single" w:sz="8" w:space="0" w:color="000000"/>
              <w:bottom w:val="single" w:sz="8" w:space="0" w:color="000000"/>
            </w:tcBorders>
          </w:tcPr>
          <w:p w14:paraId="397ED96B" w14:textId="77777777" w:rsidR="00D95118" w:rsidRDefault="00C61FF7">
            <w:pPr>
              <w:spacing w:before="80" w:after="80" w:line="276" w:lineRule="auto"/>
            </w:pPr>
            <w:r>
              <w:rPr>
                <w:b/>
                <w:sz w:val="20"/>
              </w:rPr>
              <w:t>Principales Observaciones de la Auditoría</w:t>
            </w:r>
          </w:p>
        </w:tc>
      </w:tr>
      <w:tr w:rsidR="00D95118" w14:paraId="4279BF70" w14:textId="77777777">
        <w:trPr>
          <w:jc w:val="center"/>
        </w:trPr>
        <w:tc>
          <w:tcPr>
            <w:tcW w:w="1984" w:type="dxa"/>
          </w:tcPr>
          <w:p w14:paraId="6E53460E" w14:textId="77777777" w:rsidR="00D95118" w:rsidRDefault="00C61FF7">
            <w:pPr>
              <w:spacing w:before="60" w:after="60" w:line="276" w:lineRule="auto"/>
            </w:pPr>
            <w:r>
              <w:rPr>
                <w:sz w:val="20"/>
              </w:rPr>
              <w:t>Rendimiento (Performance)</w:t>
            </w:r>
          </w:p>
        </w:tc>
        <w:tc>
          <w:tcPr>
            <w:tcW w:w="1417" w:type="dxa"/>
          </w:tcPr>
          <w:p w14:paraId="0BB38711" w14:textId="77777777" w:rsidR="00D95118" w:rsidRDefault="00C61FF7">
            <w:pPr>
              <w:spacing w:before="60" w:after="60" w:line="276" w:lineRule="auto"/>
            </w:pPr>
            <w:r>
              <w:rPr>
                <w:sz w:val="20"/>
              </w:rPr>
              <w:t>78 / 100</w:t>
            </w:r>
          </w:p>
        </w:tc>
        <w:tc>
          <w:tcPr>
            <w:tcW w:w="1701" w:type="dxa"/>
          </w:tcPr>
          <w:p w14:paraId="015153F2" w14:textId="77777777" w:rsidR="00D95118" w:rsidRDefault="00C61FF7">
            <w:pPr>
              <w:spacing w:before="60" w:after="60" w:line="276" w:lineRule="auto"/>
            </w:pPr>
            <w:r>
              <w:rPr>
                <w:sz w:val="20"/>
              </w:rPr>
              <w:t>Aceptable con mejoras</w:t>
            </w:r>
          </w:p>
        </w:tc>
        <w:tc>
          <w:tcPr>
            <w:tcW w:w="3402" w:type="dxa"/>
          </w:tcPr>
          <w:p w14:paraId="280E2A4E" w14:textId="77777777" w:rsidR="00D95118" w:rsidRDefault="00C61FF7">
            <w:pPr>
              <w:spacing w:before="60" w:after="60" w:line="276" w:lineRule="auto"/>
            </w:pPr>
            <w:r>
              <w:rPr>
                <w:sz w:val="20"/>
              </w:rPr>
              <w:t>Carga inicial demorada por tres iframes de Google Maps e imágenes sin compresión moderna.</w:t>
            </w:r>
          </w:p>
        </w:tc>
      </w:tr>
      <w:tr w:rsidR="00D95118" w14:paraId="318A737B" w14:textId="77777777">
        <w:trPr>
          <w:jc w:val="center"/>
        </w:trPr>
        <w:tc>
          <w:tcPr>
            <w:tcW w:w="1984" w:type="dxa"/>
          </w:tcPr>
          <w:p w14:paraId="53B20D81" w14:textId="77777777" w:rsidR="00D95118" w:rsidRDefault="00C61FF7">
            <w:pPr>
              <w:spacing w:before="60" w:after="60" w:line="276" w:lineRule="auto"/>
            </w:pPr>
            <w:r>
              <w:rPr>
                <w:sz w:val="20"/>
              </w:rPr>
              <w:t xml:space="preserve">Accesibilidad </w:t>
            </w:r>
            <w:r>
              <w:rPr>
                <w:sz w:val="20"/>
              </w:rPr>
              <w:t>(Accessibility)</w:t>
            </w:r>
          </w:p>
        </w:tc>
        <w:tc>
          <w:tcPr>
            <w:tcW w:w="1417" w:type="dxa"/>
          </w:tcPr>
          <w:p w14:paraId="70BCFFE7" w14:textId="77777777" w:rsidR="00D95118" w:rsidRDefault="00C61FF7">
            <w:pPr>
              <w:spacing w:before="60" w:after="60" w:line="276" w:lineRule="auto"/>
            </w:pPr>
            <w:r>
              <w:rPr>
                <w:sz w:val="20"/>
              </w:rPr>
              <w:t>81 / 100</w:t>
            </w:r>
          </w:p>
        </w:tc>
        <w:tc>
          <w:tcPr>
            <w:tcW w:w="1701" w:type="dxa"/>
          </w:tcPr>
          <w:p w14:paraId="1DB22C4B" w14:textId="77777777" w:rsidR="00D95118" w:rsidRDefault="00C61FF7">
            <w:pPr>
              <w:spacing w:before="60" w:after="60" w:line="276" w:lineRule="auto"/>
            </w:pPr>
            <w:r>
              <w:rPr>
                <w:sz w:val="20"/>
              </w:rPr>
              <w:t>Aceptable con fallas</w:t>
            </w:r>
          </w:p>
        </w:tc>
        <w:tc>
          <w:tcPr>
            <w:tcW w:w="3402" w:type="dxa"/>
          </w:tcPr>
          <w:p w14:paraId="5759F7F6" w14:textId="77777777" w:rsidR="00D95118" w:rsidRDefault="00C61FF7">
            <w:pPr>
              <w:spacing w:before="60" w:after="60" w:line="276" w:lineRule="auto"/>
            </w:pPr>
            <w:r>
              <w:rPr>
                <w:sz w:val="20"/>
              </w:rPr>
              <w:t>Contraste insuficiente en textos secundarios (#7A5A3A con ratio 3.4:1) y etiquetas de formulario ocultas.</w:t>
            </w:r>
          </w:p>
        </w:tc>
      </w:tr>
      <w:tr w:rsidR="00D95118" w14:paraId="4A37247C" w14:textId="77777777">
        <w:trPr>
          <w:jc w:val="center"/>
        </w:trPr>
        <w:tc>
          <w:tcPr>
            <w:tcW w:w="1984" w:type="dxa"/>
          </w:tcPr>
          <w:p w14:paraId="277D0ABB" w14:textId="77777777" w:rsidR="00D95118" w:rsidRDefault="00C61FF7">
            <w:pPr>
              <w:spacing w:before="60" w:after="60" w:line="276" w:lineRule="auto"/>
            </w:pPr>
            <w:r>
              <w:rPr>
                <w:sz w:val="20"/>
              </w:rPr>
              <w:t>Mejores Prácticas (Best Practices)</w:t>
            </w:r>
          </w:p>
        </w:tc>
        <w:tc>
          <w:tcPr>
            <w:tcW w:w="1417" w:type="dxa"/>
          </w:tcPr>
          <w:p w14:paraId="031161A2" w14:textId="77777777" w:rsidR="00D95118" w:rsidRDefault="00C61FF7">
            <w:pPr>
              <w:spacing w:before="60" w:after="60" w:line="276" w:lineRule="auto"/>
            </w:pPr>
            <w:r>
              <w:rPr>
                <w:sz w:val="20"/>
              </w:rPr>
              <w:t>92 / 100</w:t>
            </w:r>
          </w:p>
        </w:tc>
        <w:tc>
          <w:tcPr>
            <w:tcW w:w="1701" w:type="dxa"/>
          </w:tcPr>
          <w:p w14:paraId="4CDB3215" w14:textId="77777777" w:rsidR="00D95118" w:rsidRDefault="00C61FF7">
            <w:pPr>
              <w:spacing w:before="60" w:after="60" w:line="276" w:lineRule="auto"/>
            </w:pPr>
            <w:r>
              <w:rPr>
                <w:sz w:val="20"/>
              </w:rPr>
              <w:t>Sobresaliente</w:t>
            </w:r>
          </w:p>
        </w:tc>
        <w:tc>
          <w:tcPr>
            <w:tcW w:w="3402" w:type="dxa"/>
          </w:tcPr>
          <w:p w14:paraId="101D2C3F" w14:textId="77777777" w:rsidR="00D95118" w:rsidRDefault="00C61FF7">
            <w:pPr>
              <w:spacing w:before="60" w:after="60" w:line="276" w:lineRule="auto"/>
            </w:pPr>
            <w:r>
              <w:rPr>
                <w:sz w:val="20"/>
              </w:rPr>
              <w:t>Uso de HTTPS y enlaces externos protegidos con rel="noopener noreferrer".</w:t>
            </w:r>
          </w:p>
        </w:tc>
      </w:tr>
      <w:tr w:rsidR="00D95118" w14:paraId="385A76D4" w14:textId="77777777">
        <w:trPr>
          <w:jc w:val="center"/>
        </w:trPr>
        <w:tc>
          <w:tcPr>
            <w:tcW w:w="1984" w:type="dxa"/>
            <w:tcBorders>
              <w:bottom w:val="single" w:sz="8" w:space="0" w:color="000000"/>
            </w:tcBorders>
          </w:tcPr>
          <w:p w14:paraId="407F7A58" w14:textId="77777777" w:rsidR="00D95118" w:rsidRDefault="00C61FF7">
            <w:pPr>
              <w:spacing w:before="60" w:after="60" w:line="276" w:lineRule="auto"/>
            </w:pPr>
            <w:r>
              <w:rPr>
                <w:sz w:val="20"/>
              </w:rPr>
              <w:t>SEO y Metadatos</w:t>
            </w:r>
          </w:p>
        </w:tc>
        <w:tc>
          <w:tcPr>
            <w:tcW w:w="1417" w:type="dxa"/>
            <w:tcBorders>
              <w:bottom w:val="single" w:sz="8" w:space="0" w:color="000000"/>
            </w:tcBorders>
          </w:tcPr>
          <w:p w14:paraId="75855EE0" w14:textId="77777777" w:rsidR="00D95118" w:rsidRDefault="00C61FF7">
            <w:pPr>
              <w:spacing w:before="60" w:after="60" w:line="276" w:lineRule="auto"/>
            </w:pPr>
            <w:r>
              <w:rPr>
                <w:sz w:val="20"/>
              </w:rPr>
              <w:t>85 / 100</w:t>
            </w:r>
          </w:p>
        </w:tc>
        <w:tc>
          <w:tcPr>
            <w:tcW w:w="1701" w:type="dxa"/>
            <w:tcBorders>
              <w:bottom w:val="single" w:sz="8" w:space="0" w:color="000000"/>
            </w:tcBorders>
          </w:tcPr>
          <w:p w14:paraId="1895C092" w14:textId="77777777" w:rsidR="00D95118" w:rsidRDefault="00C61FF7">
            <w:pPr>
              <w:spacing w:before="60" w:after="60" w:line="276" w:lineRule="auto"/>
            </w:pPr>
            <w:r>
              <w:rPr>
                <w:sz w:val="20"/>
              </w:rPr>
              <w:t>Bueno</w:t>
            </w:r>
          </w:p>
        </w:tc>
        <w:tc>
          <w:tcPr>
            <w:tcW w:w="3402" w:type="dxa"/>
            <w:tcBorders>
              <w:bottom w:val="single" w:sz="8" w:space="0" w:color="000000"/>
            </w:tcBorders>
          </w:tcPr>
          <w:p w14:paraId="44096AFE" w14:textId="77777777" w:rsidR="00D95118" w:rsidRDefault="00C61FF7">
            <w:pPr>
              <w:spacing w:before="60" w:after="60" w:line="276" w:lineRule="auto"/>
            </w:pPr>
            <w:r>
              <w:rPr>
                <w:sz w:val="20"/>
              </w:rPr>
              <w:t>Etiqueta &lt;html lang="en"&gt; en sitio redactado en español y falta de descripciones estructuradas en tratamientos.</w:t>
            </w:r>
          </w:p>
        </w:tc>
      </w:tr>
    </w:tbl>
    <w:p w14:paraId="018D73B8" w14:textId="77777777" w:rsidR="00D95118" w:rsidRDefault="00C61FF7">
      <w:pPr>
        <w:spacing w:before="80" w:after="240" w:line="276" w:lineRule="auto"/>
      </w:pPr>
      <w:r>
        <w:rPr>
          <w:i/>
          <w:sz w:val="20"/>
        </w:rPr>
        <w:t xml:space="preserve">Nota. </w:t>
      </w:r>
      <w:r>
        <w:rPr>
          <w:sz w:val="20"/>
        </w:rPr>
        <w:t xml:space="preserve">Métricas obtenidas mediante emulación de dispositivo móvil y </w:t>
      </w:r>
      <w:r>
        <w:rPr>
          <w:sz w:val="20"/>
        </w:rPr>
        <w:t>escritorio.</w:t>
      </w:r>
    </w:p>
    <w:p w14:paraId="2A9CFF03" w14:textId="77777777" w:rsidR="00D95118" w:rsidRDefault="00C61FF7">
      <w:r>
        <w:br w:type="page"/>
      </w:r>
    </w:p>
    <w:p w14:paraId="63EFCD29" w14:textId="77777777" w:rsidR="00D95118" w:rsidRDefault="00C61FF7">
      <w:pPr>
        <w:spacing w:before="240" w:after="120"/>
        <w:jc w:val="center"/>
      </w:pPr>
      <w:r>
        <w:rPr>
          <w:b/>
        </w:rPr>
        <w:t>Problemas Detectados y su Impacto en la Usabilidad</w:t>
      </w:r>
    </w:p>
    <w:p w14:paraId="019E96A5" w14:textId="77777777" w:rsidR="00D95118" w:rsidRDefault="00C61FF7">
      <w:pPr>
        <w:ind w:firstLine="720"/>
        <w:jc w:val="both"/>
      </w:pPr>
      <w:r>
        <w:t>A partir de los resultados analíticos y del contraste con los principios heurísticos de Nielsen, se describen los cinco problemas críticos de usabilidad identificados, explicando el impacto negativo que ocasionan en la experiencia del usuario:</w:t>
      </w:r>
    </w:p>
    <w:p w14:paraId="3C05F396" w14:textId="77777777" w:rsidR="00D95118" w:rsidRDefault="00C61FF7">
      <w:pPr>
        <w:spacing w:before="240" w:after="80"/>
      </w:pPr>
      <w:r>
        <w:rPr>
          <w:b/>
        </w:rPr>
        <w:t>Problema 1: Falta de Retroalimentación Activa en Formularios y Carga Asíncrona (Heurística 1)</w:t>
      </w:r>
    </w:p>
    <w:p w14:paraId="4B5E8B72" w14:textId="77777777" w:rsidR="00D95118" w:rsidRDefault="00C61FF7">
      <w:pPr>
        <w:ind w:firstLine="720"/>
        <w:jc w:val="both"/>
      </w:pPr>
      <w:r>
        <w:t>Descripción técnica: Durante el envío de citas e inicio de sesión, los botones de acción no muestran un indicador de carga (spinner) ni se deshabilitan mientras se procesa la petición en la red.</w:t>
      </w:r>
    </w:p>
    <w:p w14:paraId="05188470" w14:textId="77777777" w:rsidR="00D95118" w:rsidRDefault="00C61FF7">
      <w:pPr>
        <w:ind w:firstLine="720"/>
        <w:jc w:val="both"/>
      </w:pPr>
      <w:r>
        <w:t>Impacto en la usabilidad: La inmovilidad aparente de la interfaz genera incertidumbre en el usuario, haciéndole dudar de si el sistema registró su clic. Esto induce a pulsaciones múltiples repetidas ("rage clicks") que saturan el servidor y pueden provocar solicitudes duplicadas.</w:t>
      </w:r>
    </w:p>
    <w:p w14:paraId="189D5F02" w14:textId="77777777" w:rsidR="00D95118" w:rsidRDefault="00C61FF7">
      <w:pPr>
        <w:spacing w:before="240" w:after="80"/>
      </w:pPr>
      <w:r>
        <w:rPr>
          <w:b/>
        </w:rPr>
        <w:t>Problema 2: Inconsistencia y Disparidad en las Vías de Reserva (Heurística 4)</w:t>
      </w:r>
    </w:p>
    <w:p w14:paraId="68528A8B" w14:textId="77777777" w:rsidR="00D95118" w:rsidRDefault="00C61FF7">
      <w:pPr>
        <w:ind w:firstLine="720"/>
        <w:jc w:val="both"/>
      </w:pPr>
      <w:r>
        <w:t>Descripción técnica: El botón de cabecera "Reservar Cita" redirige a un chat externo de WhatsApp, mientras que la opción "Reservar" de la barra de navegación abre un flujo de inicio de sesión y formulario interno.</w:t>
      </w:r>
    </w:p>
    <w:p w14:paraId="4199E6E4" w14:textId="77777777" w:rsidR="00D95118" w:rsidRDefault="00C61FF7">
      <w:pPr>
        <w:ind w:firstLine="720"/>
        <w:jc w:val="both"/>
      </w:pPr>
      <w:r>
        <w:t>Impacto en la usabilidad: Vulnera la expectativa y predictibilidad del usuario. Si dos botones idénticos generan resultados opuestos, la persona pierde confianza en la navegación y se desorienta sobre cuál es el canal formal de compra de la empresa.</w:t>
      </w:r>
    </w:p>
    <w:p w14:paraId="483B7DFD" w14:textId="77777777" w:rsidR="00D95118" w:rsidRDefault="00C61FF7">
      <w:pPr>
        <w:spacing w:before="240" w:after="80"/>
      </w:pPr>
      <w:r>
        <w:rPr>
          <w:b/>
        </w:rPr>
        <w:t>Problema 3: Despliegue Masivo y Rígido del Catálogo de Servicios (Heurística 3 y 8)</w:t>
      </w:r>
    </w:p>
    <w:p w14:paraId="2D5D1F7D" w14:textId="77777777" w:rsidR="00D95118" w:rsidRDefault="00C61FF7">
      <w:pPr>
        <w:ind w:firstLine="720"/>
        <w:jc w:val="both"/>
      </w:pPr>
      <w:r>
        <w:t>Descripción técnica: El componente de acordeón de servicios está programado como un conmutador binario ('all' vs. null), expandiendo simultáneamente más de 30 procedimientos en pantalla al tocar una sola categoría.</w:t>
      </w:r>
    </w:p>
    <w:p w14:paraId="688DCA4F" w14:textId="77777777" w:rsidR="00D95118" w:rsidRDefault="00C61FF7">
      <w:pPr>
        <w:ind w:firstLine="720"/>
        <w:jc w:val="both"/>
      </w:pPr>
      <w:r>
        <w:t xml:space="preserve">Impacto en la usabilidad: Genera sobrecarga visual y fatiga </w:t>
      </w:r>
      <w:r>
        <w:t>cognitiva (Information Overload). El usuario se ve obligado a realizar desplazamientos verticales excesivos para encontrar lo que busca, incrementando el tiempo de tarea y reduciendo la probabilidad de concretar una reserva.</w:t>
      </w:r>
    </w:p>
    <w:p w14:paraId="229738FB" w14:textId="77777777" w:rsidR="00D95118" w:rsidRDefault="00C61FF7">
      <w:pPr>
        <w:spacing w:before="240" w:after="80"/>
      </w:pPr>
      <w:r>
        <w:rPr>
          <w:b/>
        </w:rPr>
        <w:t>Problema 4: Permisividad de Selección de Fechas Pasadas y Falta de Precios (Heurística 5 y 6)</w:t>
      </w:r>
    </w:p>
    <w:p w14:paraId="1E71A776" w14:textId="77777777" w:rsidR="00D95118" w:rsidRDefault="00C61FF7">
      <w:pPr>
        <w:ind w:firstLine="720"/>
        <w:jc w:val="both"/>
      </w:pPr>
      <w:r>
        <w:t>Descripción técnica: El input de calendario no posee restricción de fecha mínima (min), permitiendo agendar citas en días pasados. Además, los chips de servicio ocultan el costo monetario y la duración de cada atención.</w:t>
      </w:r>
    </w:p>
    <w:p w14:paraId="09322F24" w14:textId="77777777" w:rsidR="00D95118" w:rsidRDefault="00C61FF7">
      <w:pPr>
        <w:ind w:firstLine="720"/>
        <w:jc w:val="both"/>
      </w:pPr>
      <w:r>
        <w:t>Impacto en la usabilidad: El sistema traslada el peso de la prevención de errores al cliente y lo fuerza a recordar o consultar tarifas en fuentes externas, elevando la carga mental antes de tomar una decisión económica.</w:t>
      </w:r>
    </w:p>
    <w:p w14:paraId="65472050" w14:textId="77777777" w:rsidR="00D95118" w:rsidRDefault="00C61FF7">
      <w:pPr>
        <w:spacing w:before="240" w:after="80"/>
      </w:pPr>
      <w:r>
        <w:rPr>
          <w:b/>
        </w:rPr>
        <w:t>Problema 5: Saturación y Bloqueo por Elementos Flotantes en Dispositivos Móviles (Heurística 8)</w:t>
      </w:r>
    </w:p>
    <w:p w14:paraId="74AF8BA7" w14:textId="77777777" w:rsidR="00D95118" w:rsidRDefault="00C61FF7">
      <w:pPr>
        <w:ind w:firstLine="720"/>
        <w:jc w:val="both"/>
      </w:pPr>
      <w:r>
        <w:t>Descripción técnica: En pantallas pequeñas (&lt;768px), convergen simultáneamente cinco botones flotantes (accesibilidad, WhatsApp y tres redes sociales) en la base del viewport.</w:t>
      </w:r>
    </w:p>
    <w:p w14:paraId="0D8D89C5" w14:textId="77777777" w:rsidR="00D95118" w:rsidRDefault="00C61FF7">
      <w:pPr>
        <w:ind w:firstLine="720"/>
        <w:jc w:val="both"/>
      </w:pPr>
      <w:r>
        <w:t>Impacto en la usabilidad: Los controles secundarios cubren hasta un 30% del área de lectura y colisionan con los botones de envío de los formularios, propiciando pulsaciones accidentales frustrantes y entorpeciendo la interacción táctil.</w:t>
      </w:r>
    </w:p>
    <w:p w14:paraId="09EB070A" w14:textId="77777777" w:rsidR="00D95118" w:rsidRDefault="00C61FF7">
      <w:r>
        <w:br w:type="page"/>
      </w:r>
    </w:p>
    <w:p w14:paraId="1879AE27" w14:textId="77777777" w:rsidR="00D95118" w:rsidRDefault="00C61FF7">
      <w:pPr>
        <w:spacing w:before="240" w:after="120"/>
        <w:jc w:val="center"/>
      </w:pPr>
      <w:r>
        <w:rPr>
          <w:b/>
        </w:rPr>
        <w:t>Propuestas de Mejora</w:t>
      </w:r>
    </w:p>
    <w:p w14:paraId="0F1AC565" w14:textId="77777777" w:rsidR="00D95118" w:rsidRDefault="00C61FF7">
      <w:pPr>
        <w:ind w:firstLine="720"/>
        <w:jc w:val="both"/>
      </w:pPr>
      <w:r>
        <w:t>Con base en los problemas detectados y en las oportunidades identificadas con las herramientas digitales, se proponen soluciones de diseño y desarrollo orientadas a elevar la experiencia del usuario:</w:t>
      </w:r>
    </w:p>
    <w:p w14:paraId="11136226" w14:textId="77777777" w:rsidR="00D95118" w:rsidRDefault="00C61FF7">
      <w:pPr>
        <w:spacing w:before="240" w:after="80"/>
      </w:pPr>
      <w:r>
        <w:rPr>
          <w:b/>
        </w:rPr>
        <w:t>Propuesta 1: Rediseño del Catálogo con Acordeón Independiente y Precios Visibles</w:t>
      </w:r>
    </w:p>
    <w:p w14:paraId="2FA916F6" w14:textId="77777777" w:rsidR="00D95118" w:rsidRDefault="00C61FF7">
      <w:pPr>
        <w:ind w:firstLine="720"/>
        <w:jc w:val="both"/>
      </w:pPr>
      <w:r>
        <w:t>• Solución: Modificar el estado del componente de servicios para que cada categoría (Uñas, Pestañas, Cabello, Otros) se expanda y colapse de forma independiente. Incorporar en cada tarjeta el costo y tiempo estimado de atención (ej. "Manicure Semipermanente — $15 / 45 min").</w:t>
      </w:r>
    </w:p>
    <w:p w14:paraId="04E295F7" w14:textId="77777777" w:rsidR="00D95118" w:rsidRDefault="00C61FF7">
      <w:pPr>
        <w:ind w:firstLine="720"/>
        <w:jc w:val="both"/>
      </w:pPr>
      <w:r>
        <w:t>• Beneficio UX: Reduce el scroll innecesario, disminuye la carga cognitiva y permite al cliente tomar decisiones de agendamiento transparentes y rápidas.</w:t>
      </w:r>
    </w:p>
    <w:p w14:paraId="039FD9DC" w14:textId="77777777" w:rsidR="00D95118" w:rsidRDefault="00C61FF7">
      <w:pPr>
        <w:spacing w:before="240" w:after="80"/>
      </w:pPr>
      <w:r>
        <w:rPr>
          <w:b/>
        </w:rPr>
        <w:t>Propuesta 2: Unificación del Flujo de Reserva y Modalidad de Invitado (Guest Checkout)</w:t>
      </w:r>
    </w:p>
    <w:p w14:paraId="26757815" w14:textId="77777777" w:rsidR="00D95118" w:rsidRDefault="00C61FF7">
      <w:pPr>
        <w:ind w:firstLine="720"/>
        <w:jc w:val="both"/>
      </w:pPr>
      <w:r>
        <w:t>• Solución: Establecer un flujo unificado y transparente en tres pasos: 1) Selección de servicio y fecha; 2) Datos de contacto básicos (nombre y teléfono); 3) Confirmación directa, sin exigir creación forzosa de contraseña previa. El botón de WhatsApp debe rotularse expresamente como "Consultas por WhatsApp".</w:t>
      </w:r>
    </w:p>
    <w:p w14:paraId="038C8916" w14:textId="77777777" w:rsidR="00D95118" w:rsidRDefault="00C61FF7">
      <w:pPr>
        <w:ind w:firstLine="720"/>
        <w:jc w:val="both"/>
      </w:pPr>
      <w:r>
        <w:t>• Beneficio UX: Elimina la fricción del registro forzoso y eleva la tasa de finalización de reservas directas.</w:t>
      </w:r>
    </w:p>
    <w:p w14:paraId="4173C119" w14:textId="77777777" w:rsidR="00D95118" w:rsidRDefault="00C61FF7">
      <w:pPr>
        <w:spacing w:before="240" w:after="80"/>
      </w:pPr>
      <w:r>
        <w:rPr>
          <w:b/>
        </w:rPr>
        <w:t>Propuesta 3: Implementación de Controles Defensivos y Feedback Visual Activo</w:t>
      </w:r>
    </w:p>
    <w:p w14:paraId="10C3A717" w14:textId="77777777" w:rsidR="00D95118" w:rsidRDefault="00C61FF7">
      <w:pPr>
        <w:ind w:firstLine="720"/>
        <w:jc w:val="both"/>
      </w:pPr>
      <w:r>
        <w:t>• Solución: Asignar el atributo min dinámico en el selector de fechas con la fecha actual del sistema. Agregar un estado isSubmitting en los botones de formulario para bloquear nuevos clics y mostrar un spinner de carga durante el procesamiento.</w:t>
      </w:r>
    </w:p>
    <w:p w14:paraId="3CEDCA03" w14:textId="77777777" w:rsidR="00D95118" w:rsidRDefault="00C61FF7">
      <w:pPr>
        <w:ind w:firstLine="720"/>
        <w:jc w:val="both"/>
      </w:pPr>
      <w:r>
        <w:t>• Beneficio UX: Evita errores de ingreso de datos inviables y garantiza que el usuario reciba confirmación visual de que su acción está siendo atendida.</w:t>
      </w:r>
    </w:p>
    <w:p w14:paraId="096BB8D3" w14:textId="77777777" w:rsidR="00D95118" w:rsidRDefault="00C61FF7">
      <w:pPr>
        <w:spacing w:before="240" w:after="80"/>
      </w:pPr>
      <w:r>
        <w:rPr>
          <w:b/>
        </w:rPr>
        <w:t>Propuesta 4: Limpieza y Racionalización de Elementos Flotantes en Móviles</w:t>
      </w:r>
    </w:p>
    <w:p w14:paraId="049E2111" w14:textId="77777777" w:rsidR="00D95118" w:rsidRDefault="00C61FF7">
      <w:pPr>
        <w:ind w:firstLine="720"/>
        <w:jc w:val="both"/>
      </w:pPr>
      <w:r>
        <w:t>• Solución: Retirar los tres íconos flotantes de redes sociales del viewport permanente y reubicarlos en el pie de página (footer). Mantener únicamente el botón de WhatsApp en la esquina inferior derecha y el de accesibilidad en la izquierda con separación táctil adecuada (&gt;48px).</w:t>
      </w:r>
    </w:p>
    <w:p w14:paraId="4167354F" w14:textId="77777777" w:rsidR="00D95118" w:rsidRDefault="00C61FF7">
      <w:pPr>
        <w:ind w:firstLine="720"/>
        <w:jc w:val="both"/>
      </w:pPr>
      <w:r>
        <w:t>• Beneficio UX: Despeja el área útil de lectura en pantallas móviles y evita toques erróneos involuntarios.</w:t>
      </w:r>
    </w:p>
    <w:p w14:paraId="2F74F104" w14:textId="77777777" w:rsidR="00D95118" w:rsidRDefault="00C61FF7">
      <w:pPr>
        <w:spacing w:before="240" w:after="80"/>
      </w:pPr>
      <w:r>
        <w:rPr>
          <w:b/>
        </w:rPr>
        <w:t>Propuesta 5: Ajuste de Contraste Tipográfico conforme a WCAG 2.1 AA</w:t>
      </w:r>
    </w:p>
    <w:p w14:paraId="344EEDB6" w14:textId="77777777" w:rsidR="00D95118" w:rsidRDefault="00C61FF7">
      <w:pPr>
        <w:ind w:firstLine="720"/>
        <w:jc w:val="both"/>
      </w:pPr>
      <w:r>
        <w:t>• Solución: Modificar el color de los subtítulos de sección (#7A5A3A) a un tono marrón más oscuro (#4E341E) o verde bosque (#2F4A34), alcanzando una relación de contraste superior a 4.5:1 sobre el fondo beige (#E6DCCF).</w:t>
      </w:r>
    </w:p>
    <w:p w14:paraId="53022EFD" w14:textId="77777777" w:rsidR="00D95118" w:rsidRDefault="00C61FF7">
      <w:pPr>
        <w:ind w:firstLine="720"/>
        <w:jc w:val="both"/>
      </w:pPr>
      <w:r>
        <w:t>• Beneficio UX: Garantiza legibilidad óptima para personas con disminución de agudeza visual o en condiciones de iluminación solar directa.</w:t>
      </w:r>
    </w:p>
    <w:p w14:paraId="15D191E1" w14:textId="77777777" w:rsidR="00D95118" w:rsidRDefault="00C61FF7">
      <w:r>
        <w:br w:type="page"/>
      </w:r>
    </w:p>
    <w:p w14:paraId="23D622C8" w14:textId="77777777" w:rsidR="00D95118" w:rsidRDefault="00C61FF7">
      <w:pPr>
        <w:spacing w:before="240" w:after="120"/>
        <w:jc w:val="center"/>
      </w:pPr>
      <w:r>
        <w:rPr>
          <w:b/>
        </w:rPr>
        <w:t>Conclusiones</w:t>
      </w:r>
    </w:p>
    <w:p w14:paraId="6901156A" w14:textId="77777777" w:rsidR="00D95118" w:rsidRDefault="00C61FF7">
      <w:pPr>
        <w:ind w:firstLine="720"/>
        <w:jc w:val="both"/>
      </w:pPr>
      <w:r>
        <w:t>El desarrollo del presente trabajo autónomo demostró la gran utilidad y necesidad de combinar herramientas digitales analíticas (Hotjar / Crazy Egg) y de auditoría técnica automatizada (Google Lighthouse y WAVE) con los métodos tradicionales de evaluación heurística de Jakob Nielsen. Mientras que la inspección teórica permite detectar inconsistencias semánticas y de libertad de usuario, las herramientas digitales proporcionan evidencias objetivas sobre el comportamiento real de navegación, zonas de abandono</w:t>
      </w:r>
      <w:r>
        <w:t xml:space="preserve"> y métricas técnicas de accesibilidad.</w:t>
      </w:r>
    </w:p>
    <w:p w14:paraId="699F7DA4" w14:textId="77777777" w:rsidR="00D95118" w:rsidRDefault="00C61FF7">
      <w:pPr>
        <w:ind w:firstLine="720"/>
        <w:jc w:val="both"/>
      </w:pPr>
      <w:r>
        <w:t>La evaluación del sitio comercial de Lush Nails Spa evidenció una plataforma con una identidad estética atractiva y un notable esfuerzo de inclusión mediante su widget de accesibilidad. Sin embargo, se comprobaron deficiencias de interacción que afectan su efectividad comercial, tales como la ambigüedad en los canales de reserva, la rigidez del acordeón de servicios, la falta de indicadores de procesamiento en formularios y la saturación de botones flotantes en dispositivos móviles.</w:t>
      </w:r>
    </w:p>
    <w:p w14:paraId="26A3D944" w14:textId="77777777" w:rsidR="00D95118" w:rsidRDefault="00C61FF7">
      <w:pPr>
        <w:ind w:firstLine="720"/>
        <w:jc w:val="both"/>
      </w:pPr>
      <w:r>
        <w:t>La adopción de las propuestas de mejora planteadas —especialmente el agendamiento ágil como invitado, la individualización del catálogo y la optimización de contraste— permitirá transformar la plataforma en un entorno digital ergonómico, confiable y plenamente adaptado a las necesidades de los clientes, maximizando la usabilidad y el retorno comercial del negocio.</w:t>
      </w:r>
    </w:p>
    <w:p w14:paraId="76D2D3A0" w14:textId="77777777" w:rsidR="00D95118" w:rsidRDefault="00C61FF7">
      <w:r>
        <w:br w:type="page"/>
      </w:r>
    </w:p>
    <w:p w14:paraId="110D9DBC" w14:textId="77777777" w:rsidR="00D95118" w:rsidRDefault="00C61FF7">
      <w:pPr>
        <w:spacing w:before="240" w:after="120"/>
        <w:jc w:val="center"/>
      </w:pPr>
      <w:r>
        <w:rPr>
          <w:b/>
        </w:rPr>
        <w:t>Referencias</w:t>
      </w:r>
    </w:p>
    <w:p w14:paraId="5268EB78" w14:textId="77777777" w:rsidR="00D95118" w:rsidRDefault="00C61FF7">
      <w:pPr>
        <w:ind w:left="720" w:hanging="720"/>
        <w:jc w:val="both"/>
      </w:pPr>
      <w:r>
        <w:t xml:space="preserve">Google Developers. (2023). </w:t>
      </w:r>
      <w:r>
        <w:rPr>
          <w:i/>
        </w:rPr>
        <w:t xml:space="preserve">Lighthouse overview: Automated auditing for web performance, accessibility, and SEO. </w:t>
      </w:r>
      <w:r>
        <w:t>Chrome for Developers. https://developer.chrome.com/docs/lighthouse/overview/</w:t>
      </w:r>
    </w:p>
    <w:p w14:paraId="1E1E40F3" w14:textId="77777777" w:rsidR="00D95118" w:rsidRDefault="00C61FF7">
      <w:pPr>
        <w:ind w:left="720" w:hanging="720"/>
        <w:jc w:val="both"/>
      </w:pPr>
      <w:r>
        <w:t xml:space="preserve">Hotjar. (2022). </w:t>
      </w:r>
      <w:r>
        <w:rPr>
          <w:i/>
        </w:rPr>
        <w:t xml:space="preserve">Heatmaps: What they are and how to use them for UX optimization. </w:t>
      </w:r>
      <w:r>
        <w:t>Hotjar Guides. https://www.hotjar.com/heatmaps/</w:t>
      </w:r>
    </w:p>
    <w:p w14:paraId="09AE6267" w14:textId="77777777" w:rsidR="00D95118" w:rsidRDefault="00C61FF7">
      <w:pPr>
        <w:ind w:left="720" w:hanging="720"/>
        <w:jc w:val="both"/>
      </w:pPr>
      <w:r>
        <w:t xml:space="preserve">International Organization for Standardization. (2018). </w:t>
      </w:r>
      <w:r>
        <w:rPr>
          <w:i/>
        </w:rPr>
        <w:t xml:space="preserve">Ergonomics of human-system interaction — Part 11: Usability: Definitions and concepts </w:t>
      </w:r>
      <w:r>
        <w:t>(ISO Standard No. 9241-11:2018). https://www.iso.org/standard/63500.html</w:t>
      </w:r>
    </w:p>
    <w:p w14:paraId="0201BEC5" w14:textId="77777777" w:rsidR="00D95118" w:rsidRDefault="00C61FF7">
      <w:pPr>
        <w:ind w:left="720" w:hanging="720"/>
        <w:jc w:val="both"/>
      </w:pPr>
      <w:r>
        <w:t xml:space="preserve">Nielsen, J. (1994a). Enhancing the explanatory power of usability heuristics. En </w:t>
      </w:r>
      <w:r>
        <w:rPr>
          <w:i/>
        </w:rPr>
        <w:t xml:space="preserve">Proceedings of the SIGCHI Conference on Human Factors in Computing Systems </w:t>
      </w:r>
      <w:r>
        <w:t>(pp. 152–158). Association for Computing Machinery. https://doi.org/10.1145/191666.191729</w:t>
      </w:r>
    </w:p>
    <w:p w14:paraId="18004BA2" w14:textId="77777777" w:rsidR="00D95118" w:rsidRDefault="00C61FF7">
      <w:pPr>
        <w:ind w:left="720" w:hanging="720"/>
        <w:jc w:val="both"/>
      </w:pPr>
      <w:r>
        <w:t xml:space="preserve">Nielsen, J. (1994b). Usability inspection methods. En </w:t>
      </w:r>
      <w:r>
        <w:rPr>
          <w:i/>
        </w:rPr>
        <w:t xml:space="preserve">Conference Companion on Human Factors in Computing Systems </w:t>
      </w:r>
      <w:r>
        <w:t>(pp. 413–414). Association for Computing Machinery. https://doi.org/10.1145/259963.260531</w:t>
      </w:r>
    </w:p>
    <w:p w14:paraId="5E6244F1" w14:textId="77777777" w:rsidR="00D95118" w:rsidRDefault="00C61FF7">
      <w:pPr>
        <w:ind w:left="720" w:hanging="720"/>
        <w:jc w:val="both"/>
      </w:pPr>
      <w:r>
        <w:t xml:space="preserve">Nielsen, J. (1995). </w:t>
      </w:r>
      <w:r>
        <w:rPr>
          <w:i/>
        </w:rPr>
        <w:t xml:space="preserve">10 usability heuristics for user interface design. </w:t>
      </w:r>
      <w:r>
        <w:t>Nielsen Norman Group. https://www.nngroup.com/articles/ten-usability-heuristics/</w:t>
      </w:r>
    </w:p>
    <w:p w14:paraId="7AFBC024" w14:textId="77777777" w:rsidR="00D95118" w:rsidRDefault="00C61FF7">
      <w:pPr>
        <w:ind w:left="720" w:hanging="720"/>
        <w:jc w:val="both"/>
      </w:pPr>
      <w:r>
        <w:t xml:space="preserve">WebAIM. (2022). </w:t>
      </w:r>
      <w:r>
        <w:rPr>
          <w:i/>
        </w:rPr>
        <w:t xml:space="preserve">WAVE Web Accessibility Evaluation Tool. </w:t>
      </w:r>
      <w:r>
        <w:t>Utah State University. https://wave.webaim.org/</w:t>
      </w:r>
    </w:p>
    <w:p w14:paraId="2707292E" w14:textId="77777777" w:rsidR="00D95118" w:rsidRDefault="00C61FF7">
      <w:pPr>
        <w:ind w:left="720" w:hanging="720"/>
        <w:jc w:val="both"/>
      </w:pPr>
      <w:r>
        <w:t xml:space="preserve">World Wide Web Consortium. (2018). </w:t>
      </w:r>
      <w:r>
        <w:rPr>
          <w:i/>
        </w:rPr>
        <w:t xml:space="preserve">Web Content Accessibility Guidelines (WCAG) 2.1 </w:t>
      </w:r>
      <w:r>
        <w:t>(W3C Recommendation). https://www.w3.org/TR/WCAG21/</w:t>
      </w:r>
    </w:p>
    <w:sectPr w:rsidR="00D95118"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D57737" w14:textId="77777777" w:rsidR="00C61FF7" w:rsidRDefault="00C61FF7">
      <w:pPr>
        <w:spacing w:line="240" w:lineRule="auto"/>
      </w:pPr>
      <w:r>
        <w:separator/>
      </w:r>
    </w:p>
  </w:endnote>
  <w:endnote w:type="continuationSeparator" w:id="0">
    <w:p w14:paraId="6CF4511D" w14:textId="77777777" w:rsidR="00C61FF7" w:rsidRDefault="00C61F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FF5C97" w14:textId="77777777" w:rsidR="00C61FF7" w:rsidRDefault="00C61FF7">
      <w:pPr>
        <w:spacing w:line="240" w:lineRule="auto"/>
      </w:pPr>
      <w:r>
        <w:separator/>
      </w:r>
    </w:p>
  </w:footnote>
  <w:footnote w:type="continuationSeparator" w:id="0">
    <w:p w14:paraId="4621C5DF" w14:textId="77777777" w:rsidR="00C61FF7" w:rsidRDefault="00C61FF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ECE3C" w14:textId="77777777" w:rsidR="00D95118" w:rsidRDefault="00C61FF7">
    <w:pPr>
      <w:pStyle w:val="Encabezado"/>
      <w:jc w:val="right"/>
    </w:pPr>
    <w:r>
      <w:fldChar w:fldCharType="begin"/>
    </w:r>
    <w:r>
      <w:instrText>PAGE</w:instrText>
    </w:r>
    <w:r>
      <w:fldChar w:fldCharType="separate"/>
    </w:r>
    <w:r>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65658112">
    <w:abstractNumId w:val="8"/>
  </w:num>
  <w:num w:numId="2" w16cid:durableId="2108962445">
    <w:abstractNumId w:val="6"/>
  </w:num>
  <w:num w:numId="3" w16cid:durableId="230235578">
    <w:abstractNumId w:val="5"/>
  </w:num>
  <w:num w:numId="4" w16cid:durableId="1251426993">
    <w:abstractNumId w:val="4"/>
  </w:num>
  <w:num w:numId="5" w16cid:durableId="1225289432">
    <w:abstractNumId w:val="7"/>
  </w:num>
  <w:num w:numId="6" w16cid:durableId="2121339254">
    <w:abstractNumId w:val="3"/>
  </w:num>
  <w:num w:numId="7" w16cid:durableId="1369527778">
    <w:abstractNumId w:val="2"/>
  </w:num>
  <w:num w:numId="8" w16cid:durableId="763384791">
    <w:abstractNumId w:val="1"/>
  </w:num>
  <w:num w:numId="9" w16cid:durableId="1240097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61FF7"/>
    <w:rsid w:val="00CB0664"/>
    <w:rsid w:val="00CC063F"/>
    <w:rsid w:val="00D9511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F2CA83"/>
  <w14:defaultImageDpi w14:val="300"/>
  <w15:docId w15:val="{BC70048A-C282-474D-97CE-D12069B60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2908</Words>
  <Characters>15998</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snxzms</cp:lastModifiedBy>
  <cp:revision>2</cp:revision>
  <dcterms:created xsi:type="dcterms:W3CDTF">2013-12-23T23:15:00Z</dcterms:created>
  <dcterms:modified xsi:type="dcterms:W3CDTF">2026-09-14T02:40:00Z</dcterms:modified>
  <cp:category/>
</cp:coreProperties>
</file>