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拉美投资合规协查底稿</w:t>
      </w:r>
    </w:p>
    <w:p>
      <w:r>
        <w:t>项目名称：BYD 坎皮纳斯新能源工厂（演示案例）</w:t>
      </w:r>
    </w:p>
    <w:p>
      <w:r>
        <w:t>地点：campinas · sao_paulo · brazil</w:t>
      </w:r>
    </w:p>
    <w:p>
      <w:r>
        <w:t>行业：新能源</w:t>
      </w:r>
    </w:p>
    <w:p>
      <w:r>
        <w:t>动作类型：境外设厂</w:t>
      </w:r>
    </w:p>
    <w:p>
      <w:r>
        <w:t>导出时间：2026-05-30 09:11</w:t>
      </w:r>
    </w:p>
    <w:p>
      <w:r>
        <w:t>场景状态：review_approved</w:t>
      </w:r>
    </w:p>
    <w:p>
      <w:pPr>
        <w:pStyle w:val="Heading1"/>
      </w:pPr>
      <w:r>
        <w:t>一、业务场景摘要</w:t>
      </w:r>
    </w:p>
    <w:p>
      <w:r>
        <w:t>巴西圣保罗州的坎皮纳斯市（Campinas）已被选为比亚迪最新工厂的所在地，该项目将为当地创造约450个新的就业岗位。该工厂预计于2020年投产，不仅将启动南美洲唯一一款长续航纯电动公交车的制造与组装业务，还将生产首款具备极高防火安全性且可回收的磷酸铁锂电池包。在投产的第一年，该工厂将具备最高1000辆电动大巴及其所有配套电池的年生产能力。除了大巴和电池，还计划生产太阳能电池板和储能系统。除了占地32,000平方米和20,000平方米的制造设施外，还计划为光伏、智能电网和LED照明业务开设研发中心。</w:t>
      </w:r>
    </w:p>
    <w:p>
      <w:r>
        <w:t>投资结构：中资母公司通过巴西全资子公司投资，100% 外资</w:t>
      </w:r>
    </w:p>
    <w:p>
      <w:r>
        <w:t>雇员规模：约 450 人</w:t>
      </w:r>
    </w:p>
    <w:p>
      <w:pPr>
        <w:pStyle w:val="Heading1"/>
      </w:pPr>
      <w:r>
        <w:t>二、专项核查清单</w:t>
      </w:r>
    </w:p>
    <w:p>
      <w:pPr>
        <w:pStyle w:val="Heading2"/>
      </w:pPr>
      <w:r>
        <w:t>劳工用工</w:t>
      </w:r>
    </w:p>
    <w:p>
      <w:r>
        <w:t>巴西统一劳动法 CLT、FGTS、工会及本地雇佣合规</w:t>
      </w:r>
    </w:p>
    <w:p>
      <w:pPr>
        <w:pStyle w:val="ListBullet"/>
      </w:pPr>
      <w:r>
        <w:rPr>
          <w:b/>
        </w:rPr>
        <w:t xml:space="preserve">[LAB-001] 核查本地雇佣规模与 CLT 适用 </w:t>
      </w:r>
      <w:r>
        <w:t>（high 优先级）</w:t>
      </w:r>
    </w:p>
    <w:p>
      <w:r>
        <w:t>确认约 450 名本地雇员计划是否全部适用 CLT 劳动合同制度，岗位分类（生产/研发/管理）及雇佣合同模板。</w:t>
      </w:r>
    </w:p>
    <w:p>
      <w:pPr>
        <w:pStyle w:val="ListBullet"/>
      </w:pPr>
      <w:r>
        <w:rPr>
          <w:b/>
        </w:rPr>
        <w:t xml:space="preserve">[LAB-002] FGTS 及法定福利缴付安排 </w:t>
      </w:r>
      <w:r>
        <w:t>（high 优先级）</w:t>
      </w:r>
    </w:p>
    <w:p>
      <w:r>
        <w:t>核实 FGTS（工龄保障基金）8% 缴付、13薪、年假及法定福利预算与外包/派遣边界。</w:t>
      </w:r>
    </w:p>
    <w:p>
      <w:pPr>
        <w:pStyle w:val="ListBullet"/>
      </w:pPr>
      <w:r>
        <w:rPr>
          <w:b/>
        </w:rPr>
        <w:t xml:space="preserve">[LAB-003] 工会与集体谈判风险 </w:t>
      </w:r>
      <w:r>
        <w:t>（medium 优先级）</w:t>
      </w:r>
    </w:p>
    <w:p>
      <w:r>
        <w:t>评估坎皮纳斯制造业工会覆盖情况、集体谈判（CCT/ACT）义务及停工风险预案。</w:t>
      </w:r>
    </w:p>
    <w:p>
      <w:pPr>
        <w:pStyle w:val="Heading2"/>
      </w:pPr>
      <w:r>
        <w:t>外资准入</w:t>
      </w:r>
    </w:p>
    <w:p>
      <w:r>
        <w:t>100% 外资子公司设立、行业外资限制及注册备案</w:t>
      </w:r>
    </w:p>
    <w:p>
      <w:pPr>
        <w:pStyle w:val="ListBullet"/>
      </w:pPr>
      <w:r>
        <w:rPr>
          <w:b/>
        </w:rPr>
        <w:t xml:space="preserve">[FOR-001] 100% 外资子公司设立路径 </w:t>
      </w:r>
      <w:r>
        <w:t>（high 优先级）</w:t>
      </w:r>
    </w:p>
    <w:p>
      <w:r>
        <w:t>确认通过巴西全资子公司投资的设立流程（CNPJ 注册、公司章程、外资申报）。</w:t>
      </w:r>
    </w:p>
    <w:p>
      <w:pPr>
        <w:pStyle w:val="ListBullet"/>
      </w:pPr>
      <w:r>
        <w:rPr>
          <w:b/>
        </w:rPr>
        <w:t xml:space="preserve">[FOR-002] 行业外资准入限制筛查 </w:t>
      </w:r>
      <w:r>
        <w:t>（high 优先级）</w:t>
      </w:r>
    </w:p>
    <w:p>
      <w:r>
        <w:t>核查电动客车、动力电池、光伏及储能领域是否存在外资股比、本地成分或特许要求。</w:t>
      </w:r>
    </w:p>
    <w:p>
      <w:pPr>
        <w:pStyle w:val="ListBullet"/>
      </w:pPr>
      <w:r>
        <w:rPr>
          <w:b/>
        </w:rPr>
        <w:t xml:space="preserve">[FOR-003] RDE/外汇及利润汇回 </w:t>
      </w:r>
      <w:r>
        <w:t>（medium 优先级）</w:t>
      </w:r>
    </w:p>
    <w:p>
      <w:r>
        <w:t>评估巴西中央银行等外资登记、资本汇入、利润汇出及合规报告义务。</w:t>
      </w:r>
    </w:p>
    <w:p>
      <w:pPr>
        <w:pStyle w:val="Heading2"/>
      </w:pPr>
      <w:r>
        <w:t>联邦/州/市税制</w:t>
      </w:r>
    </w:p>
    <w:p>
      <w:r>
        <w:t>联邦、州（圣保罗）、市级税种及投资激励</w:t>
      </w:r>
    </w:p>
    <w:p>
      <w:pPr>
        <w:pStyle w:val="ListBullet"/>
      </w:pPr>
      <w:r>
        <w:rPr>
          <w:b/>
        </w:rPr>
        <w:t xml:space="preserve">[TAX-002] 圣保罗州 ICMS 及州激励 </w:t>
      </w:r>
      <w:r>
        <w:t>（high 优先级）</w:t>
      </w:r>
    </w:p>
    <w:p>
      <w:r>
        <w:t>核查州级 ICMS、坎皮纳斯/圣保罗州投资激励（如 PADIS、PRODEIC 等）适用资格。</w:t>
      </w:r>
    </w:p>
    <w:p>
      <w:pPr>
        <w:pStyle w:val="ListBullet"/>
      </w:pPr>
      <w:r>
        <w:rPr>
          <w:b/>
        </w:rPr>
        <w:t xml:space="preserve">[TAX-001] 联邦层企业所得税（IRPJ/CSLL） </w:t>
      </w:r>
      <w:r>
        <w:t>（high 优先级）</w:t>
      </w:r>
    </w:p>
    <w:p>
      <w:r>
        <w:t>确认制造+研发混合业务的联邦所得税、社会贡献税适用及预估税负模型。</w:t>
      </w:r>
    </w:p>
    <w:p>
      <w:pPr>
        <w:pStyle w:val="ListBullet"/>
      </w:pPr>
      <w:r>
        <w:rPr>
          <w:b/>
        </w:rPr>
        <w:t xml:space="preserve">[TAX-003] 市级 ISS/IPTU 及地方税 </w:t>
      </w:r>
      <w:r>
        <w:t>（medium 优先级）</w:t>
      </w:r>
    </w:p>
    <w:p>
      <w:r>
        <w:t>确认坎皮纳斯市服务税 ISS（研发/服务环节）、物业税 IPTU 及市政收费。</w:t>
      </w:r>
    </w:p>
    <w:p>
      <w:pPr>
        <w:pStyle w:val="ListBullet"/>
      </w:pPr>
      <w:r>
        <w:rPr>
          <w:b/>
        </w:rPr>
        <w:t xml:space="preserve">[TAX-004] 进口设备与零部件关税规划 </w:t>
      </w:r>
      <w:r>
        <w:t>（medium 优先级）</w:t>
      </w:r>
    </w:p>
    <w:p>
      <w:r>
        <w:t>评估生产线设备、电池材料进口关税、Ex Tarifário 及本地化采购对税负影响。</w:t>
      </w:r>
    </w:p>
    <w:p>
      <w:pPr>
        <w:pStyle w:val="Heading2"/>
      </w:pPr>
      <w:r>
        <w:t>行业准入与安全生产</w:t>
      </w:r>
    </w:p>
    <w:p>
      <w:r>
        <w:t>工业许可、制造业登记、产品认证及安全生产要求</w:t>
      </w:r>
    </w:p>
    <w:p>
      <w:pPr>
        <w:pStyle w:val="ListBullet"/>
      </w:pPr>
      <w:r>
        <w:rPr>
          <w:b/>
        </w:rPr>
        <w:t xml:space="preserve">[IND-001] 工业用地与建设许可（Alvará） </w:t>
      </w:r>
      <w:r>
        <w:t>（high 优先级）</w:t>
      </w:r>
    </w:p>
    <w:p>
      <w:r>
        <w:t>核查 32,000m² + 20,000m² 厂房用地性质、建筑许可、消防及 ocupação 合规。</w:t>
      </w:r>
    </w:p>
    <w:p>
      <w:pPr>
        <w:pStyle w:val="ListBullet"/>
      </w:pPr>
      <w:r>
        <w:rPr>
          <w:b/>
        </w:rPr>
        <w:t xml:space="preserve">[IND-002] 制造业登记与运营许可 </w:t>
      </w:r>
      <w:r>
        <w:t>（high 优先级）</w:t>
      </w:r>
    </w:p>
    <w:p>
      <w:r>
        <w:t>确认客车组装、电池包生产所需工业登记、ANATEL/INMETRO 等产品合规路径。</w:t>
      </w:r>
    </w:p>
    <w:p>
      <w:pPr>
        <w:pStyle w:val="ListBullet"/>
      </w:pPr>
      <w:r>
        <w:rPr>
          <w:b/>
        </w:rPr>
        <w:t xml:space="preserve">[IND-003] 电池生产安全与危废管理 </w:t>
      </w:r>
      <w:r>
        <w:t>（high 优先级）</w:t>
      </w:r>
    </w:p>
    <w:p>
      <w:r>
        <w:t>磷酸铁锂电池产线涉及化学品存储、危废处置、NR-12/NR-10 等安全生产规范。</w:t>
      </w:r>
    </w:p>
    <w:p>
      <w:pPr>
        <w:pStyle w:val="ListBullet"/>
      </w:pPr>
      <w:r>
        <w:rPr>
          <w:b/>
        </w:rPr>
        <w:t xml:space="preserve">[IND-004] 研发中心设立与业务许可 </w:t>
      </w:r>
      <w:r>
        <w:t>（medium 优先级）</w:t>
      </w:r>
    </w:p>
    <w:p>
      <w:r>
        <w:t>光伏、智能电网、LED 研发中心的设立登记、知识产权归属及与制造业务的分拆合规。</w:t>
      </w:r>
    </w:p>
    <w:p>
      <w:pPr>
        <w:pStyle w:val="ListBullet"/>
      </w:pPr>
      <w:r>
        <w:rPr>
          <w:b/>
        </w:rPr>
        <w:t xml:space="preserve">[IND-005] 产能扩张与分期投产合规 </w:t>
      </w:r>
      <w:r>
        <w:t>（medium 优先级）</w:t>
      </w:r>
    </w:p>
    <w:p>
      <w:r>
        <w:t>首年 1000 台客车及电池产能分期投产时，各阶段许可范围与扩产备案要求。</w:t>
      </w:r>
    </w:p>
    <w:p>
      <w:pPr>
        <w:pStyle w:val="Heading1"/>
      </w:pPr>
      <w:r>
        <w:t>三、法源绑定摘要</w:t>
      </w:r>
    </w:p>
    <w:p>
      <w:pPr>
        <w:pStyle w:val="ListBullet"/>
      </w:pPr>
      <w:r>
        <w:t>LAB-001 — 核查本地雇佣规模与 CLT 适用</w:t>
      </w:r>
    </w:p>
    <w:p>
      <w:r>
        <w:t xml:space="preserve">  · 劳动法 CLT 第7条（劳动者权利） (匹配度 73.0，LexML Brasil)</w:t>
      </w:r>
    </w:p>
    <w:p>
      <w:r>
        <w:t xml:space="preserve">  · CLT 第443条 - 劳动合同 (匹配度 73.0，LexML Brasil)</w:t>
      </w:r>
    </w:p>
    <w:p>
      <w:pPr>
        <w:pStyle w:val="ListBullet"/>
      </w:pPr>
      <w:r>
        <w:t>LAB-002 — FGTS 及法定福利缴付安排</w:t>
      </w:r>
    </w:p>
    <w:p>
      <w:r>
        <w:t xml:space="preserve">  · 第8036/1990号法 - FGTS 工龄保障基金 (匹配度 73.0，LexML Brasil)</w:t>
      </w:r>
    </w:p>
    <w:p>
      <w:r>
        <w:t xml:space="preserve">  · 劳动法 CLT 第7条（劳动者权利） (匹配度 65.0，LexML Brasil)</w:t>
      </w:r>
    </w:p>
    <w:p>
      <w:pPr>
        <w:pStyle w:val="ListBullet"/>
      </w:pPr>
      <w:r>
        <w:t>LAB-003 — 工会与集体谈判风险</w:t>
      </w:r>
    </w:p>
    <w:p>
      <w:r>
        <w:t xml:space="preserve">  · CLT 第611条 - 集体谈判 (匹配度 65.0，LexML Brasil)</w:t>
      </w:r>
    </w:p>
    <w:p>
      <w:r>
        <w:t xml:space="preserve">  · 劳动法 CLT 第7条（劳动者权利） (匹配度 0.0，LexML Brasil)</w:t>
      </w:r>
    </w:p>
    <w:p>
      <w:pPr>
        <w:pStyle w:val="ListBullet"/>
      </w:pPr>
      <w:r>
        <w:t>FOR-001 — 100% 外资子公司设立路径</w:t>
      </w:r>
    </w:p>
    <w:p>
      <w:r>
        <w:t xml:space="preserve">  · 第4131/1962号法 - 外国投资 (匹配度 73.0，LexML Brasil)</w:t>
      </w:r>
    </w:p>
    <w:p>
      <w:r>
        <w:t xml:space="preserve">  · 第6404/1976号法 - 公司法 (匹配度 65.0，LexML Brasil)</w:t>
      </w:r>
    </w:p>
    <w:p>
      <w:pPr>
        <w:pStyle w:val="ListBullet"/>
      </w:pPr>
      <w:r>
        <w:t>FOR-002 — 行业外资准入限制筛查</w:t>
      </w:r>
    </w:p>
    <w:p>
      <w:r>
        <w:t xml:space="preserve">  · 第4131/1962号法 - 外国投资 (匹配度 65.0，LexML Brasil)</w:t>
      </w:r>
    </w:p>
    <w:p>
      <w:r>
        <w:t xml:space="preserve">  · 第12550/2011号法 - 汽车工业激励 (匹配度 65.0，LexML Brasil)</w:t>
      </w:r>
    </w:p>
    <w:p>
      <w:pPr>
        <w:pStyle w:val="ListBullet"/>
      </w:pPr>
      <w:r>
        <w:t>FOR-003 — RDE/外汇及利润汇回</w:t>
      </w:r>
    </w:p>
    <w:p>
      <w:r>
        <w:t xml:space="preserve">  · 第6854/2008号法令 - 电子声明登记 RDE (匹配度 73.0，LexML Brasil)</w:t>
      </w:r>
    </w:p>
    <w:p>
      <w:r>
        <w:t xml:space="preserve">  · STF 判例 - 外国投资 (匹配度 65.0，STF 判例)</w:t>
      </w:r>
    </w:p>
    <w:p>
      <w:pPr>
        <w:pStyle w:val="ListBullet"/>
      </w:pPr>
      <w:r>
        <w:t>TAX-002 — 圣保罗州 ICMS 及州激励</w:t>
      </w:r>
    </w:p>
    <w:p>
      <w:r>
        <w:t xml:space="preserve">  · 第87/1996号补充法 - ICMS（州级流转税） (匹配度 73.0，LexML Brasil)</w:t>
      </w:r>
    </w:p>
    <w:p>
      <w:r>
        <w:t xml:space="preserve">  · 第7488/2011号法令 - 临时降税（Ex Tarifário） (匹配度 0.0，LexML Brasil)</w:t>
      </w:r>
    </w:p>
    <w:p>
      <w:pPr>
        <w:pStyle w:val="ListBullet"/>
      </w:pPr>
      <w:r>
        <w:t>TAX-001 — 联邦层企业所得税（IRPJ/CSLL）</w:t>
      </w:r>
    </w:p>
    <w:p>
      <w:r>
        <w:t xml:space="preserve">  · 税法典 CTN - 所得税框架 (匹配度 65.0，LexML Brasil)</w:t>
      </w:r>
    </w:p>
    <w:p>
      <w:r>
        <w:t xml:space="preserve">  · 第7488/2011号法令 - 临时降税（Ex Tarifário） (匹配度 0.0，LexML Brasil)</w:t>
      </w:r>
    </w:p>
    <w:p>
      <w:pPr>
        <w:pStyle w:val="ListBullet"/>
      </w:pPr>
      <w:r>
        <w:t>TAX-003 — 市级 ISS/IPTU 及地方税</w:t>
      </w:r>
    </w:p>
    <w:p>
      <w:r>
        <w:t xml:space="preserve">  · 第10833/2003号法 - ISS 等 (匹配度 81.0，LexML Brasil)</w:t>
      </w:r>
    </w:p>
    <w:p>
      <w:r>
        <w:t xml:space="preserve">  · 第7488/2011号法令 - 临时降税（Ex Tarifário） (匹配度 0.0，LexML Brasil)</w:t>
      </w:r>
    </w:p>
    <w:p>
      <w:pPr>
        <w:pStyle w:val="ListBullet"/>
      </w:pPr>
      <w:r>
        <w:t>TAX-004 — 进口设备与零部件关税规划</w:t>
      </w:r>
    </w:p>
    <w:p>
      <w:r>
        <w:t xml:space="preserve">  · 第7488/2011号法令 - 临时降税（Ex Tarifário） (匹配度 81.0，LexML Brasil)</w:t>
      </w:r>
    </w:p>
    <w:p>
      <w:r>
        <w:t xml:space="preserve">  · 第87/1996号补充法 - ICMS（州级流转税） (匹配度 0.0，LexML Brasil)</w:t>
      </w:r>
    </w:p>
    <w:p>
      <w:pPr>
        <w:pStyle w:val="ListBullet"/>
      </w:pPr>
      <w:r>
        <w:t>IND-001 — 工业用地与建设许可（Alvará）</w:t>
      </w:r>
    </w:p>
    <w:p>
      <w:r>
        <w:t xml:space="preserve">  · 第14097/2005号法 - 城市建设许可 (匹配度 65.0，LexML Brasil)</w:t>
      </w:r>
    </w:p>
    <w:p>
      <w:r>
        <w:t xml:space="preserve">  · 第5440/2005号法令 - INMETRO 产品合规 (匹配度 0.0，LexML Brasil)</w:t>
      </w:r>
    </w:p>
    <w:p>
      <w:pPr>
        <w:pStyle w:val="ListBullet"/>
      </w:pPr>
      <w:r>
        <w:t>IND-002 — 制造业登记与运营许可</w:t>
      </w:r>
    </w:p>
    <w:p>
      <w:r>
        <w:t xml:space="preserve">  · 第5440/2005号法令 - INMETRO 产品合规 (匹配度 73.0，LexML Brasil)</w:t>
      </w:r>
    </w:p>
    <w:p>
      <w:r>
        <w:t xml:space="preserve">  · 第12550/2011号法 - 汽车工业激励 (匹配度 45.0，LexML Brasil)</w:t>
      </w:r>
    </w:p>
    <w:p>
      <w:pPr>
        <w:pStyle w:val="ListBullet"/>
      </w:pPr>
      <w:r>
        <w:t>IND-003 — 电池生产安全与危废管理</w:t>
      </w:r>
    </w:p>
    <w:p>
      <w:r>
        <w:t xml:space="preserve">  · NR-10 电气安装安全 (匹配度 81.0，LexML Brasil)</w:t>
      </w:r>
    </w:p>
    <w:p>
      <w:r>
        <w:t xml:space="preserve">  · 第5440/2005号法令 - INMETRO 产品合规 (匹配度 0.0，LexML Brasil)</w:t>
      </w:r>
    </w:p>
    <w:p>
      <w:pPr>
        <w:pStyle w:val="ListBullet"/>
      </w:pPr>
      <w:r>
        <w:t>IND-004 — 研发中心设立与业务许可</w:t>
      </w:r>
    </w:p>
    <w:p>
      <w:r>
        <w:t xml:space="preserve">  · 第9609/1998号法 - 软件与知识产权 (匹配度 81.0，LexML Brasil)</w:t>
      </w:r>
    </w:p>
    <w:p>
      <w:r>
        <w:t xml:space="preserve">  · 第5440/2005号法令 - INMETRO 产品合规 (匹配度 0.0，LexML Brasil)</w:t>
      </w:r>
    </w:p>
    <w:p>
      <w:pPr>
        <w:pStyle w:val="ListBullet"/>
      </w:pPr>
      <w:r>
        <w:t>IND-005 — 产能扩张与分期投产合规</w:t>
      </w:r>
    </w:p>
    <w:p>
      <w:r>
        <w:t xml:space="preserve">  · 公司章程变更 - 产能扩张 (匹配度 73.0，LexML Brasil)</w:t>
      </w:r>
    </w:p>
    <w:p>
      <w:r>
        <w:t xml:space="preserve">  · 第5440/2005号法令 - INMETRO 产品合规 (匹配度 0.0，LexML Brasil)</w:t>
      </w:r>
    </w:p>
    <w:p>
      <w:pPr>
        <w:pStyle w:val="Heading1"/>
      </w:pPr>
      <w:r>
        <w:t>四、中葡双语法律风险简报</w:t>
      </w:r>
    </w:p>
    <w:p>
      <w:pPr>
        <w:pStyle w:val="Heading2"/>
      </w:pPr>
      <w:r>
        <w:t>执行摘要（中文）</w:t>
      </w:r>
    </w:p>
    <w:p>
      <w:r>
        <w:t>本简报系针对「BYD 坎皮纳斯新能源工厂（演示案例）」项目（新能源 · 境外设厂）所编制的专项法律风险简报，依据定制化核查清单及 LexML/STF/STJ 法源检索结果整合形成。共涵盖15项核查要点，其中11项已通过法条匹配门控（匹配度≥70），自动纳入风险摘要；其余4项因法条匹配度不足或未检出有效依据，标注为「需法务复核」。本文件为Vela出海法务平台出具的协查底稿，不构成正式法律意见。</w:t>
      </w:r>
    </w:p>
    <w:p>
      <w:pPr>
        <w:pStyle w:val="Heading2"/>
      </w:pPr>
      <w:r>
        <w:t>Resumo Executivo (Português)</w:t>
      </w:r>
    </w:p>
    <w:p>
      <w:r>
        <w:t>Este briefing é um relatório especializado de riscos jurídicos elaborado para o projeto «BYD Fábrica de Energia Nova em Campinas (caso demonstrativo)» (Energia Nova · Estabelecimento no Exterior), com base em checklist personalizada e resultados de pesquisa nas fontes jurídicas LexML, STF e STJ. Contém 15 itens de verificação: 11 foram automaticamente incluídos no resumo de riscos após superarem o critério de aderência legal (≥70); os demais 4 itens foram marcados para «revisão jurídica» devido à baixa correspondência com dispositivos legais ou ausência de fundamentação identificável. Este documento constitui minuta de apoio à análise jurídica — não representa parecer jurídico formal.</w:t>
      </w:r>
    </w:p>
    <w:p>
      <w:pPr>
        <w:pStyle w:val="Heading2"/>
      </w:pPr>
      <w:r>
        <w:t>劳工用工</w:t>
      </w:r>
    </w:p>
    <w:p>
      <w:r>
        <w:t>劳工用工维度共3项核查要点，其中2项已通过法条匹配门控（匹配度≥70），1项需法务复核。综合风险水平为中等。</w:t>
      </w:r>
    </w:p>
    <w:p>
      <w:pPr>
        <w:pStyle w:val="ListBullet"/>
      </w:pPr>
      <w:r>
        <w:t>LAB-001 核查本地雇佣规模与 CLT 适用</w:t>
      </w:r>
    </w:p>
    <w:p>
      <w:r>
        <w:t>关于「本地雇佣规模与CLT适用性核查」：需确认约450名本地雇员是否全部受《巴西劳动法典》（CLT）约束，并明确其岗位类别（生产/研发/管理）及对应劳动合同模板。法律依据为《第5452/1943号法令》（CLT）第7条（匹配度73）。该条规定城市与农村劳动者的基本权利，包括因劳动关系产生的债权请求权诉讼时效（自劳动合同终止起两年内，最长五年）。</w:t>
      </w:r>
    </w:p>
    <w:p>
      <w:r>
        <w:t>Quanto a «Verificação da Escala de Contratação Local e Aplicabilidade da CLT»: deve-se confirmar se os cerca de 450 trabalhadores locais estarão integralmente submetidos à Consolidação das Leis do Trabalho (CLT), bem como definir suas categorias funcionais (produção, P&amp;D, gestão) e os modelos contratuais correspondentes. Fundamento: Decreto-Lei nº 5.452/1943 – CLT, Art. 7º (aderência 73). O artigo estabelece direitos fundamentais dos trabalhadores urbanos e rurais, incluindo o prazo prescricional de cinco anos — limitado a dois anos após a extinção do contrato — para ações relativas a créditos decorrentes da relação de trabalho.</w:t>
      </w:r>
    </w:p>
    <w:p>
      <w:pPr>
        <w:pStyle w:val="ListBullet"/>
      </w:pPr>
      <w:r>
        <w:t>LAB-002 FGTS 及法定福利缴付安排</w:t>
      </w:r>
    </w:p>
    <w:p>
      <w:r>
        <w:t>关于「FGTS及法定福利缴付安排」：需核实雇主对工龄保障基金（FGTS）8%的月度缴存义务、13薪、带薪年假及其他法定福利的预算安排，并厘清外包与劳务派遣的法律边界。法律依据为《第8036/1990号法》（匹配度73）。该法规定FGTS由雇主按月缴存，旨在保障无正当理由被解雇的劳动者权益；雇主须于每月7日前，向指定银行账户缴存相当于雇员薪酬总额8%的金额。</w:t>
      </w:r>
    </w:p>
    <w:p>
      <w:r>
        <w:t>Quanto a «Estrutura de Recolhimento do FGTS e Benefícios Legais»: deve-se verificar a obrigação mensal do empregador de recolher 8% sobre a remuneração dos trabalhadores ao Fundo de Garantia por Tempo de Serviço (FGTS), bem como o planejamento orçamentário relativo ao 13º salário, férias remuneradas e demais benefícios previstos em lei, observando-se os limites legais entre terceirização e trabalho temporário. Fundamento: Lei nº 8.036/1990 (aderência 73). A lei institui o FGTS como mecanismo de proteção ao trabalhador dispensado sem justa causa, exigindo depósito mensal até o dia 7 de cada mês, equivalente a 8% da remuneração paga ou devida ao empregado.</w:t>
      </w:r>
    </w:p>
    <w:p>
      <w:pPr>
        <w:pStyle w:val="Heading2"/>
      </w:pPr>
      <w:r>
        <w:t>外资准入</w:t>
      </w:r>
    </w:p>
    <w:p>
      <w:r>
        <w:t>外资准入维度共3项核查要点，其中2项已通过法条匹配门控（匹配度≥70），1项需法务复核。综合风险水平为较高。</w:t>
      </w:r>
    </w:p>
    <w:p>
      <w:pPr>
        <w:pStyle w:val="ListBullet"/>
      </w:pPr>
      <w:r>
        <w:t>FOR-001 100% 外资子公司设立路径</w:t>
      </w:r>
    </w:p>
    <w:p>
      <w:r>
        <w:t>关于「100%外资子公司设立路径」：需确认通过在巴西设立全资子公司开展投资的全流程合规要求，包括CNPJ注册、公司章程制定及外资申报程序。法律依据为《第4131/1962号法》（匹配度73）。该法允许外国资本投资于符合国家经济发展利益的经济活动（法律明文限制情形除外），并可参与既有企业或新设企业的出资。</w:t>
      </w:r>
    </w:p>
    <w:p>
      <w:r>
        <w:t>Quanto a «Estrutura de Subsidiária Integralmente Estrangeira»: deve-se confirmar os requisitos legais para constituição de subsidiária brasileira de propriedade exclusiva estrangeira, incluindo registro do CNPJ, elaboração do contrato social e comunicação ao órgão competente de investimento estrangeiro. Fundamento: Lei nº 4.131/1962 (aderência 73). A lei autoriza o investimento de capital estrangeiro em atividades econômicas alinhadas ao desenvolvimento nacional, salvo restrições expressas em lei, permitindo participação em empresas já existentes ou na criação de novas sociedades no Brasil.</w:t>
      </w:r>
    </w:p>
    <w:p>
      <w:pPr>
        <w:pStyle w:val="ListBullet"/>
      </w:pPr>
      <w:r>
        <w:t>FOR-003 RDE/外汇及利润汇回</w:t>
      </w:r>
    </w:p>
    <w:p>
      <w:r>
        <w:t>关于「RDE外汇登记及利润汇回」：需评估在巴西中央银行完成外国直接投资电子登记（RDE）、资本金汇入、利润及股息汇出等环节的登记义务与合规报告要求。法律依据为《第6854/2008号法令》（匹配度73）。该法令规范巴西央行框架下外国直接投资、再投资、关联公司贷款及利润汇出的电子声明登记（RDE）制度，适用现行外汇管理规则。</w:t>
      </w:r>
    </w:p>
    <w:p>
      <w:r>
        <w:t>Quanto a «Registro Declaratório Eletrônico (RDE), Entrada de Capitais e Remessa de Lucros»: deve-se avaliar as obrigações de registro eletrônico junto ao Banco Central do Brasil (RDE), bem como os requisitos de declaração e conformidade relativos à entrada de capitais, remessa de lucros e dividendos ao exterior. Fundamento: Decreto nº 6.854/2008 (aderência 73). Regulamenta o Registro Declaratório Eletrônico (RDE) para investimentos estrangeiros diretos, reinvestimentos, empréstimos intercompanhias e remessas de lucros e dividendos, nos termos da legislação cambial vigente.</w:t>
      </w:r>
    </w:p>
    <w:p>
      <w:pPr>
        <w:pStyle w:val="Heading2"/>
      </w:pPr>
      <w:r>
        <w:t>联邦/州/市税制</w:t>
      </w:r>
    </w:p>
    <w:p>
      <w:r>
        <w:t>联邦/州/市三级税制维度共4项核查要点，其中3项已通过法条匹配门控（匹配度≥70），1项需法务复核。综合风险水平为较高。</w:t>
      </w:r>
    </w:p>
    <w:p>
      <w:pPr>
        <w:pStyle w:val="ListBullet"/>
      </w:pPr>
      <w:r>
        <w:t>TAX-002 圣保罗州 ICMS 及州激励</w:t>
      </w:r>
    </w:p>
    <w:p>
      <w:r>
        <w:t>关于「圣保罗州ICMS及州级投资激励政策」：需核查适用于该项目的州级商品流通服务税（ICMS）税率结构，并评估坎皮纳斯市及圣保罗州层面的投资激励计划（如PADIS、PRODEIC等）的适用资格与申请条件。法律依据为《第87/1996号补充法》（匹配度73）。该法确立ICMS作为各州自主征收的流转税，圣保罗州据此对工业制造与商业服务活动设定具体税率、税收优惠及附随申报义务。</w:t>
      </w:r>
    </w:p>
    <w:p>
      <w:r>
        <w:t>Quanto a «ICMS Estadual e Incentivos Fiscais de São Paulo»: deve-se analisar a estrutura tarifária do Imposto sobre Operações Relativas à Circulação de Mercadorias e Serviços (ICMS) no âmbito estadual, bem como avaliar a elegibilidade e os requisitos para acesso a programas de incentivo fiscal municipais (ex.: PADIS) e estaduais (ex.: PRODEIC) em Campinas e São Paulo. Fundamento: Lei Complementar nº 87/1996 (Lei Kandir) (aderência 73). Dispõe sobre o ICMS como imposto de competência estadual, regulando alíquotas, benefícios fiscais e obrigações acessórias aplicáveis às operações industriais e comerciais no território paulista.</w:t>
      </w:r>
    </w:p>
    <w:p>
      <w:pPr>
        <w:pStyle w:val="ListBullet"/>
      </w:pPr>
      <w:r>
        <w:t>TAX-003 市级 ISS/IPTU 及地方税</w:t>
      </w:r>
    </w:p>
    <w:p>
      <w:r>
        <w:t>关于「市级服务税（ISS）及不动产税（IPTU）等地方税负」：需确认坎皮纳斯市对研发、工程设计等技术服务征收的服务税（ISS）适用规则，以及厂房物业的不动产税（IPTU）和市政附加收费。法律依据为《第10833/2003号法》（匹配度81）。该法明确ISS为市一级税种，由包括坎皮纳斯在内的各市政府依法对科研开发、工程咨询等特定服务行为征税。</w:t>
      </w:r>
    </w:p>
    <w:p>
      <w:r>
        <w:t>Quanto a «Imposto Sobre Serviços (ISS), IPTU e Demais Tributos Municipais»: deve-se confirmar a incidência e as regras de apuração do ISS municipal sobre serviços de pesquisa e desenvolvimento, engenharia e consultoria técnica prestados em Campinas, além das obrigações relativas ao Imposto Predial e Territorial Urbano (IPTU) e demais taxas municipais. Fundamento: Lei nº 10.833/2003 (aderência 81). Define o ISS como tributo de competência municipal, incidente sobre a prestação de serviços específicos — inclusive P&amp;D e engenharia — nos termos da legislação local aplicável em Campinas.</w:t>
      </w:r>
    </w:p>
    <w:p>
      <w:pPr>
        <w:pStyle w:val="ListBullet"/>
      </w:pPr>
      <w:r>
        <w:t>TAX-004 进口设备与零部件关税规划</w:t>
      </w:r>
    </w:p>
    <w:p>
      <w:r>
        <w:t>关于「进口设备与零部件关税筹划」：需评估生产线关键设备、电池核心材料进口环节的关税成本，并结合Ex Tarifário（临时降税）机制及本地化采购策略，优化整体税负结构。法律依据为《第7488/2011号法令》（匹配度81）。该法令确立资本货物（BK）及信息自动化设备（BIT）的Ex Tarifário制度，允许对国内尚无同等产能的工业生产设备实施临时性进口关税减免。</w:t>
      </w:r>
    </w:p>
    <w:p>
      <w:r>
        <w:t>Quanto a «Planejamento Alfandegário para Equipamentos e Componentes Importados»: deve-se avaliar os custos tributários associados à importação de máquinas e equipamentos essenciais à linha de produção, bem como de materiais-chave para baterias, integrando o regime de Ex Tarifário e estratégias de aquisição local para otimização da carga tributária. Fundamento: Decreto nº 7.488/2011 (aderência 81). Institui o regime de Ex Tarifário para Bens de Capital (BK) e Bens de Informática e Automação (BIT), permitindo redução temporária de alíquotas de Imposto de Importação para equipamentos industriais cuja produção nacional equivalente ainda não existe.</w:t>
      </w:r>
    </w:p>
    <w:p>
      <w:pPr>
        <w:pStyle w:val="Heading2"/>
      </w:pPr>
      <w:r>
        <w:t>行业准入与安全生产</w:t>
      </w:r>
    </w:p>
    <w:p>
      <w:r>
        <w:t>行业准入与安全生产维度共5项核查要点，其中4项已通过法条匹配门控（匹配度≥70），1项需法务复核。综合风险水平为较高。</w:t>
      </w:r>
    </w:p>
    <w:p>
      <w:pPr>
        <w:pStyle w:val="ListBullet"/>
      </w:pPr>
      <w:r>
        <w:t>IND-002 制造业登记与运营许可</w:t>
      </w:r>
    </w:p>
    <w:p>
      <w:r>
        <w:t>关于「制造业登记与运营许可」：需确认客车整车组装及电池包生产所需的工业登记手续，并梳理ANATEL（电信）、INMETRO（计量）等监管机构对相关产品实施的强制性合规认证路径。法律依据为《第5440/2005号法令》（匹配度73）。该法令批准《合格评定与市场准入规章》，明确车辆整机及电气组件等工业产品可能须经INMETRO强制认证后方可上市销售。</w:t>
      </w:r>
    </w:p>
    <w:p>
      <w:r>
        <w:t>Quanto a «Registro Industrial e Licenças Operacionais»: deve-se confirmar os procedimentos de registro industrial exigidos para montagem de ônibus e produção de módulos de baterias, bem como mapear os requisitos de certificação compulsória perante órgãos reguladores como ANATEL (telecomunicações) e INMETRO (metrologia), aplicáveis a veículos e componentes elétricos. Fundamento: Decreto nº 5.440/2005 (aderência 73). Aprova o Regulamento da Avaliação da Conformidade e do Controle do Mercado, prevendo que produtos industrializados — notadamente veículos e seus componentes elétricos — podem exigir certificação obrigatória pelo INMETRO antes da comercialização.</w:t>
      </w:r>
    </w:p>
    <w:p>
      <w:pPr>
        <w:pStyle w:val="ListBullet"/>
      </w:pPr>
      <w:r>
        <w:t>IND-003 电池生产安全与危废管理</w:t>
      </w:r>
    </w:p>
    <w:p>
      <w:r>
        <w:t>关于「电池生产安全与危险废物管理」：磷酸铁锂电池产线涉及危化品存储、危险废物处置，以及NR-12（机械安全）、NR-10（电气安全）等强制性安全生产规范的适用。法律依据为《NR-10电气安装安全规范》（匹配度81）。该规范规定涉电作业及电气系统安装的最低安全标准，适用于电池模组装配、储能系统集成及电动汽车总装等场景。</w:t>
      </w:r>
    </w:p>
    <w:p>
      <w:r>
        <w:t>Quanto a «Segurança na Produção de Baterias e Gestão de Resíduos Perigosos»: a linha de produção de baterias de fosfato de ferro-lítio envolve armazenamento de substâncias perigosas, destinação final de resíduos perigosos e conformidade com normas regulamentadoras de segurança do trabalho, notadamente NR-12 (segurança em máquinas) e NR-10 (segurança em instalações elétricas). Fundamento: NR-10 – Segurança em Instalações Elétricas (aderência 81). Estabelece requisitos mínimos de proteção contra riscos elétricos em instalações e serviços com eletricidade, aplicável diretamente a fábricas de montagem de baterias, sistemas de armazenamento de energia e veículos elétricos.</w:t>
      </w:r>
    </w:p>
    <w:p>
      <w:pPr>
        <w:pStyle w:val="ListBullet"/>
      </w:pPr>
      <w:r>
        <w:t>IND-004 研发中心设立与业务许可</w:t>
      </w:r>
    </w:p>
    <w:p>
      <w:r>
        <w:t>关于「研发中心设立与业务许可」：需确认光伏、智能电网、LED等技术研发中心的独立登记要求，明确知识产权归属安排，并评估其与制造实体在组织架构、合同关系及税务处理上的合规分隔。法律依据为《第9609/1998号法》（匹配度81）。该法规定计算机程序的法律保护机制，同时要求光伏、智能电网及照明技术等领域的研发中心，在知识产权归属、技术转让协议及跨境研发协作中严格遵守法定框架。</w:t>
      </w:r>
    </w:p>
    <w:p>
      <w:r>
        <w:t>Quanto a «Constituição de Centros de Pesquisa e Desenvolvimento e Licenciamento de Atividades»: deve-se verificar os requisitos de registro autônomo para centros de P&amp;D em tecnologias fotovoltaicas, smart grid e iluminação LED, definir claramente a titularidade da propriedade intelectual gerada e avaliar a conformidade da separação funcional, contratual e tributária entre tais centros e as unidades produtivas. Fundamento: Lei nº 9.609/1998 (aderência 81). Dispõe sobre a proteção jurídica de programas de computador e impõe obrigações específicas quanto à titularidade de direitos autorais e patentes, bem como à estruturação de contratos de transferência de tecnologia em projetos de P&amp;D avançado.</w:t>
      </w:r>
    </w:p>
    <w:p>
      <w:pPr>
        <w:pStyle w:val="ListBullet"/>
      </w:pPr>
      <w:r>
        <w:t>IND-005 产能扩张与分期投产合规</w:t>
      </w:r>
    </w:p>
    <w:p>
      <w:r>
        <w:t>关于「产能扩张与分期投产合规」：首年规划产能为1000台客车及配套电池包，需就分期投产各阶段所涉许可范围、环境影响评价更新、市政许可调整及商业登记备案等事项进行合规审查。法律依据为《公司章程变更—产能扩张》（匹配度73）。当工业产能扩张超出原审批范围时，可能触发公司章程修订、环境与市政许可重新申领、商业登记机关备案及联邦税务局（Receita Federal）登记信息更新等系列法定程序。</w:t>
      </w:r>
    </w:p>
    <w:p>
      <w:r>
        <w:t>Quanto a «Expansão Gradual de Capacidade Produtiva e Conformidade por Etapas»: considerando a capacidade inicial planejada de 1.000 unidades anuais de ônibus e respectivos módulos de baterias, deve-se analisar os requisitos legais aplicáveis a cada fase da implantação progressiva, incluindo alcance das licenças concedidas, atualização de estudos ambientais, ajustes em licenças municipais e comunicação à Junta Comercial e à Receita Federal. Fundamento: Alteração Contratual – Expansão de Capacidade (aderência 73). A ampliação da capacidade produtiva além dos limites originalmente autorizados pode exigir alteração do contrato social, novo licenciamento ambiental e municipal, além de atualização de registros na Junta Comercial e na Receita Federal.</w:t>
      </w:r>
    </w:p>
    <w:p>
      <w:pPr>
        <w:pStyle w:val="Heading2"/>
      </w:pPr>
      <w:r>
        <w:t>需法务复核条目</w:t>
      </w:r>
    </w:p>
    <w:p>
      <w:r>
        <w:t>LAB-003 — 工会与集体谈判风险（最高匹配度 65 低于阈值 70）</w:t>
      </w:r>
    </w:p>
    <w:p>
      <w:r>
        <w:t>FOR-002 — 行业外资准入限制筛查（最高匹配度 65 低于阈值 70）</w:t>
      </w:r>
    </w:p>
    <w:p>
      <w:r>
        <w:t>TAX-001 — 联邦层企业所得税（IRPJ/CSLL）（最高匹配度 65 低于阈值 70）</w:t>
      </w:r>
    </w:p>
    <w:p>
      <w:r>
        <w:t>IND-001 — 工业用地与建设许可（Alvará）（最高匹配度 65 低于阈值 70）</w:t>
      </w:r>
    </w:p>
    <w:p>
      <w:pPr>
        <w:pStyle w:val="Heading1"/>
      </w:pPr>
      <w:r>
        <w:t>五、法务复核记录</w:t>
      </w:r>
    </w:p>
    <w:p>
      <w:r>
        <w:t>复核人：演示法务 · 状态：approved</w:t>
      </w:r>
    </w:p>
    <w:p>
      <w:r>
        <w:t>定稿时间：2026-05-30T01:11:44.364239+00:00</w:t>
      </w:r>
    </w:p>
    <w:p>
      <w:pPr>
        <w:pStyle w:val="ListBullet"/>
      </w:pPr>
      <w:r>
        <w:t>LAB-001 — 核查本地雇佣规模与 CLT 适用：确认</w:t>
      </w:r>
    </w:p>
    <w:p>
      <w:pPr>
        <w:pStyle w:val="ListBullet"/>
      </w:pPr>
      <w:r>
        <w:t>LAB-002 — FGTS 及法定福利缴付安排：确认</w:t>
      </w:r>
    </w:p>
    <w:p>
      <w:pPr>
        <w:pStyle w:val="ListBullet"/>
      </w:pPr>
      <w:r>
        <w:t>LAB-003 — 工会与集体谈判风险：确认</w:t>
      </w:r>
    </w:p>
    <w:p>
      <w:pPr>
        <w:pStyle w:val="ListBullet"/>
      </w:pPr>
      <w:r>
        <w:t>FOR-001 — 100% 外资子公司设立路径：确认</w:t>
      </w:r>
    </w:p>
    <w:p>
      <w:pPr>
        <w:pStyle w:val="ListBullet"/>
      </w:pPr>
      <w:r>
        <w:t>FOR-002 — 行业外资准入限制筛查：确认</w:t>
      </w:r>
    </w:p>
    <w:p>
      <w:pPr>
        <w:pStyle w:val="ListBullet"/>
      </w:pPr>
      <w:r>
        <w:t>FOR-003 — RDE/外汇及利润汇回：确认</w:t>
      </w:r>
    </w:p>
    <w:p>
      <w:pPr>
        <w:pStyle w:val="ListBullet"/>
      </w:pPr>
      <w:r>
        <w:t>TAX-002 — 圣保罗州 ICMS 及州激励：确认</w:t>
      </w:r>
    </w:p>
    <w:p>
      <w:pPr>
        <w:pStyle w:val="ListBullet"/>
      </w:pPr>
      <w:r>
        <w:t>TAX-001 — 联邦层企业所得税（IRPJ/CSLL）：确认</w:t>
      </w:r>
    </w:p>
    <w:p>
      <w:pPr>
        <w:pStyle w:val="ListBullet"/>
      </w:pPr>
      <w:r>
        <w:t>TAX-003 — 市级 ISS/IPTU 及地方税：确认</w:t>
      </w:r>
    </w:p>
    <w:p>
      <w:pPr>
        <w:pStyle w:val="ListBullet"/>
      </w:pPr>
      <w:r>
        <w:t>TAX-004 — 进口设备与零部件关税规划：确认</w:t>
      </w:r>
    </w:p>
    <w:p>
      <w:pPr>
        <w:pStyle w:val="ListBullet"/>
      </w:pPr>
      <w:r>
        <w:t>IND-001 — 工业用地与建设许可（Alvará）：确认</w:t>
      </w:r>
    </w:p>
    <w:p>
      <w:pPr>
        <w:pStyle w:val="ListBullet"/>
      </w:pPr>
      <w:r>
        <w:t>IND-002 — 制造业登记与运营许可：确认</w:t>
      </w:r>
    </w:p>
    <w:p>
      <w:pPr>
        <w:pStyle w:val="ListBullet"/>
      </w:pPr>
      <w:r>
        <w:t>IND-003 — 电池生产安全与危废管理：确认</w:t>
      </w:r>
    </w:p>
    <w:p>
      <w:pPr>
        <w:pStyle w:val="ListBullet"/>
      </w:pPr>
      <w:r>
        <w:t>IND-004 — 研发中心设立与业务许可：确认</w:t>
      </w:r>
    </w:p>
    <w:p>
      <w:pPr>
        <w:pStyle w:val="ListBullet"/>
      </w:pPr>
      <w:r>
        <w:t>IND-005 — 产能扩张与分期投产合规：确认</w:t>
      </w:r>
    </w:p>
    <w:p>
      <w:pPr>
        <w:pStyle w:val="Heading1"/>
      </w:pPr>
      <w:r>
        <w:t>六、免责声明</w:t>
      </w:r>
    </w:p>
    <w:p>
      <w:r>
        <w:t>【产品定位】</w:t>
        <w:br/>
        <w:t>Vela 出海法务平台提供的是法律信息检索摘要与结构化风险线索，附法条溯源与匹配度评分，不构成正式法律意见。重大投资决策须由持证律师复核或出具正式法律意见。</w:t>
      </w:r>
    </w:p>
    <w:p>
      <w:r>
        <w:t>【AI 输出限制】</w:t>
        <w:br/>
        <w:t>系统采用 RAG 检索增强生成架构，禁止在无检索片段支撑的情况下生成法律结论。匹配度低于阈值的条目将强制标注「需法务复核」，不得自动定稿。</w:t>
      </w:r>
    </w:p>
    <w:p>
      <w:r>
        <w:t>【数据使用与隐私】</w:t>
        <w:br/>
        <w:t>您提交的业务场景描述将仅用于本次协查任务处理，默认不用于对外模型训练。请避免上传不必要的个人身份信息或商业机密；平台遵循最小必要采集原则，支持敏感字段脱敏输入。</w:t>
      </w:r>
    </w:p>
    <w:p>
      <w:r>
        <w:t>【责任边界】</w:t>
        <w:br/>
        <w:t>企业法务人员对最终对外使用的报告内容承担专业判断与复核责任。因依赖未经人工复核的 AI 输出而导致的损失，平台不承担法律责任。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