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53884" w14:textId="458231CA" w:rsidR="00BD2A04" w:rsidRPr="00DD4D28" w:rsidRDefault="00BD2A04" w:rsidP="00BD2A04">
      <w:pPr>
        <w:jc w:val="both"/>
        <w:rPr>
          <w:b/>
          <w:bCs/>
        </w:rPr>
      </w:pPr>
      <w:r w:rsidRPr="00DD4D28">
        <w:rPr>
          <w:b/>
          <w:bCs/>
          <w:color w:val="000000"/>
        </w:rPr>
        <w:t xml:space="preserve">Leveraging Vet-LIRN AMR </w:t>
      </w:r>
      <w:r w:rsidR="0013031D">
        <w:rPr>
          <w:b/>
          <w:bCs/>
          <w:color w:val="000000"/>
        </w:rPr>
        <w:t>d</w:t>
      </w:r>
      <w:r w:rsidRPr="00DD4D28">
        <w:rPr>
          <w:b/>
          <w:bCs/>
          <w:color w:val="000000"/>
        </w:rPr>
        <w:t xml:space="preserve">ata from USA to </w:t>
      </w:r>
      <w:r w:rsidR="0013031D">
        <w:rPr>
          <w:b/>
          <w:bCs/>
          <w:color w:val="000000"/>
        </w:rPr>
        <w:t>i</w:t>
      </w:r>
      <w:r w:rsidRPr="00DD4D28">
        <w:rPr>
          <w:b/>
          <w:bCs/>
          <w:color w:val="000000"/>
        </w:rPr>
        <w:t xml:space="preserve">dentify </w:t>
      </w:r>
      <w:r w:rsidR="0013031D">
        <w:rPr>
          <w:b/>
          <w:bCs/>
          <w:color w:val="000000"/>
        </w:rPr>
        <w:t>p</w:t>
      </w:r>
      <w:r w:rsidRPr="00DD4D28">
        <w:rPr>
          <w:b/>
          <w:bCs/>
          <w:color w:val="000000"/>
        </w:rPr>
        <w:t xml:space="preserve">otential </w:t>
      </w:r>
      <w:r w:rsidR="0013031D">
        <w:rPr>
          <w:b/>
          <w:bCs/>
          <w:color w:val="000000"/>
        </w:rPr>
        <w:t>d</w:t>
      </w:r>
      <w:r w:rsidRPr="00DD4D28">
        <w:rPr>
          <w:b/>
          <w:bCs/>
          <w:color w:val="000000"/>
        </w:rPr>
        <w:t xml:space="preserve">rug </w:t>
      </w:r>
      <w:r w:rsidR="0013031D">
        <w:rPr>
          <w:b/>
          <w:bCs/>
          <w:color w:val="000000"/>
        </w:rPr>
        <w:t>t</w:t>
      </w:r>
      <w:r w:rsidRPr="00DD4D28">
        <w:rPr>
          <w:b/>
          <w:bCs/>
          <w:color w:val="000000"/>
        </w:rPr>
        <w:t xml:space="preserve">argets in </w:t>
      </w:r>
      <w:r w:rsidR="0013031D">
        <w:rPr>
          <w:b/>
          <w:bCs/>
          <w:color w:val="000000"/>
        </w:rPr>
        <w:t>i</w:t>
      </w:r>
      <w:r w:rsidRPr="00DD4D28">
        <w:rPr>
          <w:b/>
          <w:bCs/>
          <w:color w:val="000000"/>
        </w:rPr>
        <w:t xml:space="preserve">mipenem-resistant </w:t>
      </w:r>
      <w:r w:rsidRPr="00DD4D28">
        <w:rPr>
          <w:b/>
          <w:bCs/>
          <w:i/>
          <w:iCs/>
          <w:color w:val="000000"/>
        </w:rPr>
        <w:t>E. col</w:t>
      </w:r>
      <w:r w:rsidRPr="00DD4D28">
        <w:rPr>
          <w:b/>
          <w:bCs/>
          <w:color w:val="000000"/>
        </w:rPr>
        <w:t xml:space="preserve">i </w:t>
      </w:r>
      <w:r w:rsidR="0013031D">
        <w:rPr>
          <w:b/>
          <w:bCs/>
          <w:color w:val="000000"/>
        </w:rPr>
        <w:t>i</w:t>
      </w:r>
      <w:r w:rsidRPr="00DD4D28">
        <w:rPr>
          <w:b/>
          <w:bCs/>
          <w:color w:val="000000"/>
        </w:rPr>
        <w:t xml:space="preserve">solates using Interactive GIS dashboards, </w:t>
      </w:r>
      <w:r w:rsidR="0013031D">
        <w:rPr>
          <w:b/>
          <w:bCs/>
          <w:color w:val="000000"/>
        </w:rPr>
        <w:t>g</w:t>
      </w:r>
      <w:r w:rsidRPr="00DD4D28">
        <w:rPr>
          <w:b/>
          <w:bCs/>
          <w:color w:val="000000"/>
        </w:rPr>
        <w:t xml:space="preserve">enomic </w:t>
      </w:r>
      <w:r w:rsidR="0013031D">
        <w:rPr>
          <w:b/>
          <w:bCs/>
          <w:color w:val="000000"/>
        </w:rPr>
        <w:t>a</w:t>
      </w:r>
      <w:r w:rsidRPr="00DD4D28">
        <w:rPr>
          <w:b/>
          <w:bCs/>
          <w:color w:val="000000"/>
        </w:rPr>
        <w:t xml:space="preserve">nalysis, </w:t>
      </w:r>
      <w:r w:rsidR="0013031D">
        <w:rPr>
          <w:b/>
          <w:bCs/>
          <w:color w:val="000000"/>
        </w:rPr>
        <w:t>s</w:t>
      </w:r>
      <w:r w:rsidRPr="00DD4D28">
        <w:rPr>
          <w:b/>
          <w:bCs/>
          <w:color w:val="000000"/>
        </w:rPr>
        <w:t xml:space="preserve">ubtractive </w:t>
      </w:r>
      <w:r w:rsidR="0013031D">
        <w:rPr>
          <w:b/>
          <w:bCs/>
          <w:color w:val="000000"/>
        </w:rPr>
        <w:t>g</w:t>
      </w:r>
      <w:r w:rsidRPr="00DD4D28">
        <w:rPr>
          <w:b/>
          <w:bCs/>
          <w:color w:val="000000"/>
        </w:rPr>
        <w:t xml:space="preserve">enomics, and </w:t>
      </w:r>
      <w:r w:rsidR="0013031D">
        <w:rPr>
          <w:b/>
          <w:bCs/>
          <w:color w:val="000000"/>
        </w:rPr>
        <w:t>d</w:t>
      </w:r>
      <w:r w:rsidRPr="00DD4D28">
        <w:rPr>
          <w:b/>
          <w:bCs/>
          <w:color w:val="000000"/>
        </w:rPr>
        <w:t xml:space="preserve">ruggability </w:t>
      </w:r>
      <w:r w:rsidR="0013031D">
        <w:rPr>
          <w:b/>
          <w:bCs/>
          <w:color w:val="000000"/>
        </w:rPr>
        <w:t>a</w:t>
      </w:r>
      <w:r w:rsidRPr="00DD4D28">
        <w:rPr>
          <w:b/>
          <w:bCs/>
          <w:color w:val="000000"/>
        </w:rPr>
        <w:t xml:space="preserve">ssessment  </w:t>
      </w:r>
    </w:p>
    <w:p w14:paraId="7686027B" w14:textId="77777777" w:rsidR="00BD2A04" w:rsidRPr="00DD4D28" w:rsidRDefault="00BD2A04" w:rsidP="00BD2A04">
      <w:pPr>
        <w:jc w:val="both"/>
        <w:rPr>
          <w:b/>
          <w:bCs/>
        </w:rPr>
      </w:pPr>
    </w:p>
    <w:p w14:paraId="0E1A236B" w14:textId="77777777" w:rsidR="00BD2A04" w:rsidRPr="00DD4D28" w:rsidRDefault="00BD2A04" w:rsidP="00BD2A04">
      <w:pPr>
        <w:jc w:val="both"/>
        <w:rPr>
          <w:b/>
          <w:bCs/>
        </w:rPr>
      </w:pPr>
      <w:r w:rsidRPr="00DD4D28">
        <w:rPr>
          <w:b/>
          <w:bCs/>
        </w:rPr>
        <w:t>Stephen Obol Opiyo</w:t>
      </w:r>
      <w:r w:rsidRPr="00DD4D28">
        <w:rPr>
          <w:b/>
          <w:bCs/>
          <w:vertAlign w:val="superscript"/>
        </w:rPr>
        <w:t>1-4</w:t>
      </w:r>
      <w:r w:rsidRPr="00DD4D28">
        <w:rPr>
          <w:b/>
          <w:bCs/>
        </w:rPr>
        <w:t xml:space="preserve">* and Peace </w:t>
      </w:r>
      <w:proofErr w:type="spellStart"/>
      <w:r w:rsidRPr="00DD4D28">
        <w:rPr>
          <w:b/>
          <w:bCs/>
        </w:rPr>
        <w:t>Proscovia</w:t>
      </w:r>
      <w:proofErr w:type="spellEnd"/>
      <w:r w:rsidRPr="00DD4D28">
        <w:rPr>
          <w:b/>
          <w:bCs/>
        </w:rPr>
        <w:t xml:space="preserve"> Aber</w:t>
      </w:r>
      <w:r w:rsidRPr="00DD4D28">
        <w:rPr>
          <w:b/>
          <w:bCs/>
          <w:vertAlign w:val="superscript"/>
        </w:rPr>
        <w:t>3-6</w:t>
      </w:r>
    </w:p>
    <w:p w14:paraId="1BCD8794" w14:textId="77777777" w:rsidR="00BD2A04" w:rsidRPr="00DD4D28" w:rsidRDefault="00BD2A04" w:rsidP="00BD2A04">
      <w:pPr>
        <w:jc w:val="both"/>
        <w:rPr>
          <w:vertAlign w:val="superscript"/>
        </w:rPr>
      </w:pPr>
    </w:p>
    <w:p w14:paraId="36D70C16" w14:textId="77777777" w:rsidR="00BD2A04" w:rsidRPr="00DD4D28" w:rsidRDefault="00BD2A04" w:rsidP="00BD2A04">
      <w:pPr>
        <w:jc w:val="both"/>
      </w:pPr>
      <w:r w:rsidRPr="00DD4D28">
        <w:rPr>
          <w:vertAlign w:val="superscript"/>
        </w:rPr>
        <w:t>1</w:t>
      </w:r>
      <w:r w:rsidRPr="00DD4D28">
        <w:t>Patira Data Science, LLC, Westerville, Ohio 43081, USA; Kampala, Uganda.</w:t>
      </w:r>
    </w:p>
    <w:p w14:paraId="72F7813B" w14:textId="77777777" w:rsidR="00BD2A04" w:rsidRPr="00DD4D28" w:rsidRDefault="00BD2A04" w:rsidP="00BD2A04">
      <w:pPr>
        <w:jc w:val="both"/>
      </w:pPr>
      <w:r w:rsidRPr="00DD4D28">
        <w:rPr>
          <w:vertAlign w:val="superscript"/>
        </w:rPr>
        <w:t>2</w:t>
      </w:r>
      <w:r w:rsidRPr="00DD4D28">
        <w:t>Fellow of Uganda National Academy of Sciences, Kampala, Uganda.</w:t>
      </w:r>
    </w:p>
    <w:p w14:paraId="1C259B16" w14:textId="77777777" w:rsidR="00BD2A04" w:rsidRPr="00DD4D28" w:rsidRDefault="00BD2A04" w:rsidP="00BD2A04">
      <w:pPr>
        <w:jc w:val="both"/>
      </w:pPr>
      <w:r w:rsidRPr="00DD4D28">
        <w:rPr>
          <w:vertAlign w:val="superscript"/>
        </w:rPr>
        <w:t>3</w:t>
      </w:r>
      <w:r w:rsidRPr="00DD4D28">
        <w:t>MAGMA Consultants International, Kampala, Uganda.</w:t>
      </w:r>
    </w:p>
    <w:p w14:paraId="69BB6EFC" w14:textId="77777777" w:rsidR="00BD2A04" w:rsidRPr="00DD4D28" w:rsidRDefault="00BD2A04" w:rsidP="00BD2A04">
      <w:pPr>
        <w:jc w:val="both"/>
      </w:pPr>
      <w:r w:rsidRPr="00DD4D28">
        <w:rPr>
          <w:vertAlign w:val="superscript"/>
        </w:rPr>
        <w:t>4</w:t>
      </w:r>
      <w:r w:rsidRPr="00DD4D28">
        <w:t xml:space="preserve">University of Sacred Heart, </w:t>
      </w:r>
      <w:proofErr w:type="spellStart"/>
      <w:r w:rsidRPr="00DD4D28">
        <w:t>Gulu</w:t>
      </w:r>
      <w:proofErr w:type="spellEnd"/>
      <w:r w:rsidRPr="00DD4D28">
        <w:t>, Uganda.</w:t>
      </w:r>
    </w:p>
    <w:p w14:paraId="569DAB23" w14:textId="77777777" w:rsidR="00BD2A04" w:rsidRPr="00DD4D28" w:rsidRDefault="00BD2A04" w:rsidP="00BD2A04">
      <w:pPr>
        <w:jc w:val="both"/>
      </w:pPr>
      <w:r w:rsidRPr="00DD4D28">
        <w:rPr>
          <w:vertAlign w:val="superscript"/>
        </w:rPr>
        <w:t>5</w:t>
      </w:r>
      <w:r w:rsidRPr="00DD4D28">
        <w:t xml:space="preserve">Gulu University, </w:t>
      </w:r>
      <w:proofErr w:type="spellStart"/>
      <w:r w:rsidRPr="00DD4D28">
        <w:t>Gulu</w:t>
      </w:r>
      <w:proofErr w:type="spellEnd"/>
      <w:r w:rsidRPr="00DD4D28">
        <w:t>, Uganda.</w:t>
      </w:r>
    </w:p>
    <w:p w14:paraId="79BB45A3" w14:textId="77777777" w:rsidR="00BD2A04" w:rsidRPr="00DD4D28" w:rsidRDefault="00BD2A04" w:rsidP="00BD2A04">
      <w:pPr>
        <w:jc w:val="both"/>
      </w:pPr>
      <w:r w:rsidRPr="00DD4D28">
        <w:rPr>
          <w:vertAlign w:val="superscript"/>
        </w:rPr>
        <w:t>6</w:t>
      </w:r>
      <w:r w:rsidRPr="00DD4D28">
        <w:t>Euclid University, Banjul (Gambia), Washington DC (USA), Montpellier (France).</w:t>
      </w:r>
    </w:p>
    <w:p w14:paraId="206B7BF2" w14:textId="77777777" w:rsidR="00BD2A04" w:rsidRPr="00DD4D28" w:rsidRDefault="00BD2A04" w:rsidP="00BD2A04">
      <w:pPr>
        <w:jc w:val="both"/>
      </w:pPr>
      <w:r w:rsidRPr="00DD4D28">
        <w:t>*Corresponding Author</w:t>
      </w:r>
    </w:p>
    <w:p w14:paraId="567EC4CF" w14:textId="77777777" w:rsidR="00BD2A04" w:rsidRDefault="00BD2A04" w:rsidP="00BD2A04">
      <w:pPr>
        <w:jc w:val="both"/>
      </w:pPr>
      <w:r w:rsidRPr="00DD4D28">
        <w:t xml:space="preserve">Email: </w:t>
      </w:r>
      <w:hyperlink r:id="rId4" w:history="1">
        <w:r w:rsidRPr="00A84E5D">
          <w:rPr>
            <w:rStyle w:val="Hyperlink"/>
          </w:rPr>
          <w:t>opiyo@patiradatascience.com</w:t>
        </w:r>
      </w:hyperlink>
    </w:p>
    <w:p w14:paraId="5851277E" w14:textId="77777777" w:rsidR="00BD2A04" w:rsidRDefault="00BD2A04" w:rsidP="00BD2A04">
      <w:pPr>
        <w:jc w:val="both"/>
      </w:pPr>
    </w:p>
    <w:p w14:paraId="3C64F500" w14:textId="77777777" w:rsidR="00BD2A04" w:rsidRPr="005363BF" w:rsidRDefault="00BD2A04" w:rsidP="00BD2A04">
      <w:pPr>
        <w:jc w:val="both"/>
        <w:rPr>
          <w:b/>
          <w:bCs/>
        </w:rPr>
      </w:pPr>
      <w:r w:rsidRPr="005363BF">
        <w:rPr>
          <w:b/>
          <w:bCs/>
        </w:rPr>
        <w:t xml:space="preserve">This article is included in </w:t>
      </w:r>
      <w:proofErr w:type="spellStart"/>
      <w:r w:rsidRPr="005363BF">
        <w:rPr>
          <w:b/>
          <w:bCs/>
        </w:rPr>
        <w:t>Vivli</w:t>
      </w:r>
      <w:proofErr w:type="spellEnd"/>
      <w:r w:rsidRPr="005363BF">
        <w:rPr>
          <w:b/>
          <w:bCs/>
        </w:rPr>
        <w:t xml:space="preserve"> AMR Open Data Reuse Data Challenge collection</w:t>
      </w:r>
    </w:p>
    <w:p w14:paraId="0817CDE1" w14:textId="77777777" w:rsidR="00BD2A04" w:rsidRPr="00DD4D28" w:rsidRDefault="00BD2A04" w:rsidP="00BD2A04">
      <w:pPr>
        <w:jc w:val="both"/>
      </w:pPr>
      <w:r w:rsidRPr="005363BF">
        <w:t>https://wellcomeopenresearch.org/collections/vivli/about</w:t>
      </w:r>
    </w:p>
    <w:p w14:paraId="1441F227" w14:textId="77777777" w:rsidR="00BD2A04" w:rsidRPr="00DD4D28" w:rsidRDefault="00BD2A04" w:rsidP="00BD2A04">
      <w:pPr>
        <w:jc w:val="both"/>
      </w:pPr>
      <w:r w:rsidRPr="005363BF">
        <w:t xml:space="preserve">Grant Information: This work was supported by Wellcome </w:t>
      </w:r>
      <w:r w:rsidRPr="0013031D">
        <w:rPr>
          <w:b/>
          <w:bCs/>
        </w:rPr>
        <w:t>[227486].</w:t>
      </w:r>
    </w:p>
    <w:p w14:paraId="40F38B99" w14:textId="77777777" w:rsidR="00BD2A04" w:rsidRDefault="00BD2A04" w:rsidP="00BD2A04">
      <w:pPr>
        <w:jc w:val="both"/>
        <w:rPr>
          <w:b/>
          <w:bCs/>
          <w:color w:val="000000" w:themeColor="text1"/>
          <w:sz w:val="32"/>
          <w:szCs w:val="32"/>
        </w:rPr>
      </w:pPr>
    </w:p>
    <w:p w14:paraId="5A3F46B8" w14:textId="77777777" w:rsidR="00BD2A04" w:rsidRPr="00127EB8" w:rsidRDefault="00BD2A04" w:rsidP="00BD2A04">
      <w:pPr>
        <w:jc w:val="both"/>
        <w:rPr>
          <w:b/>
          <w:bCs/>
          <w:color w:val="000000" w:themeColor="text1"/>
          <w:sz w:val="32"/>
          <w:szCs w:val="32"/>
        </w:rPr>
      </w:pPr>
      <w:r w:rsidRPr="00127EB8">
        <w:rPr>
          <w:b/>
          <w:bCs/>
          <w:color w:val="000000" w:themeColor="text1"/>
          <w:sz w:val="32"/>
          <w:szCs w:val="32"/>
        </w:rPr>
        <w:t>Abstract</w:t>
      </w:r>
    </w:p>
    <w:p w14:paraId="4888EE64" w14:textId="77777777" w:rsidR="00BD2A04" w:rsidRDefault="00BD2A04" w:rsidP="00BD2A04">
      <w:pPr>
        <w:pStyle w:val="NormalWeb"/>
        <w:jc w:val="both"/>
        <w:rPr>
          <w:color w:val="000000"/>
        </w:rPr>
      </w:pPr>
      <w:r>
        <w:rPr>
          <w:rStyle w:val="Strong"/>
          <w:rFonts w:eastAsiaTheme="majorEastAsia"/>
          <w:color w:val="000000"/>
        </w:rPr>
        <w:t>Background</w:t>
      </w:r>
      <w:r>
        <w:rPr>
          <w:color w:val="000000"/>
        </w:rPr>
        <w:br/>
        <w:t>Antimicrobial Resistance (AMR) is a major global health challenge, particularly in Africa, where antibiotic misuse worsens resistance. This study aims to identify potential drug targets in imipenem-resistant</w:t>
      </w:r>
      <w:r>
        <w:rPr>
          <w:rStyle w:val="apple-converted-space"/>
          <w:rFonts w:eastAsiaTheme="majorEastAsia"/>
          <w:color w:val="000000"/>
        </w:rPr>
        <w:t> </w:t>
      </w:r>
      <w:r>
        <w:rPr>
          <w:rStyle w:val="Emphasis"/>
          <w:rFonts w:eastAsiaTheme="majorEastAsia"/>
          <w:color w:val="000000"/>
        </w:rPr>
        <w:t>E. coli</w:t>
      </w:r>
      <w:r>
        <w:rPr>
          <w:rStyle w:val="apple-converted-space"/>
          <w:rFonts w:eastAsiaTheme="majorEastAsia"/>
          <w:color w:val="000000"/>
        </w:rPr>
        <w:t> </w:t>
      </w:r>
      <w:r>
        <w:rPr>
          <w:color w:val="000000"/>
        </w:rPr>
        <w:t>isolates from the Vet-LIRN database through a four-phase approach integrating GIS analysis, genomic data analysis, subtractive genomics, and druggability assessments.</w:t>
      </w:r>
    </w:p>
    <w:p w14:paraId="482E3B3C" w14:textId="77777777" w:rsidR="00BD2A04" w:rsidRDefault="00BD2A04" w:rsidP="00BD2A04">
      <w:pPr>
        <w:pStyle w:val="NormalWeb"/>
        <w:jc w:val="both"/>
        <w:rPr>
          <w:color w:val="000000"/>
        </w:rPr>
      </w:pPr>
      <w:r>
        <w:rPr>
          <w:rStyle w:val="Strong"/>
          <w:rFonts w:eastAsiaTheme="majorEastAsia"/>
          <w:color w:val="000000"/>
        </w:rPr>
        <w:t>Methods</w:t>
      </w:r>
      <w:r>
        <w:rPr>
          <w:color w:val="000000"/>
        </w:rPr>
        <w:br/>
        <w:t>Phase I involved a literature review and the creation of interactive Geographical Information System (GIS) dashboards to examine resistance patterns for Ampicillin, Minocycline, and Imipenem across North America and Africa, using data from the ATLAS and Vet-LIRN databases. Phase II focused on genomic analysis of resistant and susceptible</w:t>
      </w:r>
      <w:r>
        <w:rPr>
          <w:rStyle w:val="apple-converted-space"/>
          <w:rFonts w:eastAsiaTheme="majorEastAsia"/>
          <w:color w:val="000000"/>
        </w:rPr>
        <w:t> </w:t>
      </w:r>
      <w:r>
        <w:rPr>
          <w:rStyle w:val="Emphasis"/>
          <w:rFonts w:eastAsiaTheme="majorEastAsia"/>
          <w:color w:val="000000"/>
        </w:rPr>
        <w:t>E. coli</w:t>
      </w:r>
      <w:r>
        <w:rPr>
          <w:rStyle w:val="apple-converted-space"/>
          <w:rFonts w:eastAsiaTheme="majorEastAsia"/>
          <w:color w:val="000000"/>
        </w:rPr>
        <w:t> </w:t>
      </w:r>
      <w:r>
        <w:rPr>
          <w:color w:val="000000"/>
        </w:rPr>
        <w:t>isolates to identify non-synonymous mutations linked to imipenem resistance. Phase III applied subtractive genomics to identify essential bacterial proteins unique to</w:t>
      </w:r>
      <w:r>
        <w:rPr>
          <w:rStyle w:val="apple-converted-space"/>
          <w:rFonts w:eastAsiaTheme="majorEastAsia"/>
          <w:color w:val="000000"/>
        </w:rPr>
        <w:t> </w:t>
      </w:r>
      <w:r>
        <w:rPr>
          <w:rStyle w:val="Emphasis"/>
          <w:rFonts w:eastAsiaTheme="majorEastAsia"/>
          <w:color w:val="000000"/>
        </w:rPr>
        <w:t>E. coli</w:t>
      </w:r>
      <w:r>
        <w:rPr>
          <w:rStyle w:val="apple-converted-space"/>
          <w:rFonts w:eastAsiaTheme="majorEastAsia"/>
          <w:color w:val="000000"/>
        </w:rPr>
        <w:t> </w:t>
      </w:r>
      <w:r>
        <w:rPr>
          <w:color w:val="000000"/>
        </w:rPr>
        <w:t>and absent in humans and dogs. Phase IV assessed the druggability of these proteins by analyzing their physicochemical properties and interactions with drugs in the DrugBank database.</w:t>
      </w:r>
    </w:p>
    <w:p w14:paraId="30A33C86" w14:textId="77777777" w:rsidR="00BD2A04" w:rsidRDefault="00BD2A04" w:rsidP="00BD2A04">
      <w:pPr>
        <w:pStyle w:val="NormalWeb"/>
        <w:jc w:val="both"/>
        <w:rPr>
          <w:color w:val="000000"/>
        </w:rPr>
      </w:pPr>
      <w:r>
        <w:rPr>
          <w:rStyle w:val="Strong"/>
          <w:rFonts w:eastAsiaTheme="majorEastAsia"/>
          <w:color w:val="000000"/>
        </w:rPr>
        <w:t>Results</w:t>
      </w:r>
      <w:r>
        <w:rPr>
          <w:color w:val="000000"/>
        </w:rPr>
        <w:br/>
        <w:t>GIS analysis revealed significant geographical variations in resistance, with Africa showing higher resistance to Ampicillin (80%) compared to North America (55%). Genomic analysis identified 337 proteins in the imipenem-resistant</w:t>
      </w:r>
      <w:r>
        <w:rPr>
          <w:rStyle w:val="apple-converted-space"/>
          <w:rFonts w:eastAsiaTheme="majorEastAsia"/>
          <w:color w:val="000000"/>
        </w:rPr>
        <w:t> </w:t>
      </w:r>
      <w:r>
        <w:rPr>
          <w:rStyle w:val="Emphasis"/>
          <w:rFonts w:eastAsiaTheme="majorEastAsia"/>
          <w:color w:val="000000"/>
        </w:rPr>
        <w:t>E. coli</w:t>
      </w:r>
      <w:r>
        <w:rPr>
          <w:rStyle w:val="apple-converted-space"/>
          <w:rFonts w:eastAsiaTheme="majorEastAsia"/>
          <w:color w:val="000000"/>
        </w:rPr>
        <w:t> </w:t>
      </w:r>
      <w:r>
        <w:rPr>
          <w:color w:val="000000"/>
        </w:rPr>
        <w:t>isolates, with 68 considered potential drug targets. Of these, 29 proteins were homologous to DrugBank proteins that interacted with over 1,000 drugs. The cell wall/membrane protein group matched with 80 drugs, metabolic enzymes group with 166 drugs, transport-related proteins group with 700 drugs, regulatory proteins group with 1 drug, and DNA methylation/epigenetic proteins group with several drugs, respectively.</w:t>
      </w:r>
    </w:p>
    <w:p w14:paraId="01559E5A" w14:textId="77777777" w:rsidR="00BD2A04" w:rsidRPr="00D20FE9" w:rsidRDefault="00BD2A04" w:rsidP="00BD2A04">
      <w:pPr>
        <w:pStyle w:val="NormalWeb"/>
        <w:jc w:val="both"/>
        <w:rPr>
          <w:color w:val="000000"/>
        </w:rPr>
      </w:pPr>
      <w:r>
        <w:rPr>
          <w:rStyle w:val="Strong"/>
          <w:rFonts w:eastAsiaTheme="majorEastAsia"/>
          <w:color w:val="000000"/>
        </w:rPr>
        <w:lastRenderedPageBreak/>
        <w:t>Conclusions</w:t>
      </w:r>
      <w:r>
        <w:rPr>
          <w:color w:val="000000"/>
        </w:rPr>
        <w:br/>
        <w:t>This study demonstrates that integrating GIS, genomics analysis, subtractive genomics, and druggability assessments enhances AMR research and provides a framework for identifying novel drug targets. The 29 proteins matched proteins in DrugBank that interacting with over 1,000 drugs offer potential for drug repurposing, particularly against imipenem-resistant</w:t>
      </w:r>
      <w:r>
        <w:rPr>
          <w:rStyle w:val="apple-converted-space"/>
          <w:rFonts w:eastAsiaTheme="majorEastAsia"/>
          <w:color w:val="000000"/>
        </w:rPr>
        <w:t> </w:t>
      </w:r>
      <w:r>
        <w:rPr>
          <w:rStyle w:val="Emphasis"/>
          <w:rFonts w:eastAsiaTheme="majorEastAsia"/>
          <w:color w:val="000000"/>
        </w:rPr>
        <w:t>E. coli</w:t>
      </w:r>
      <w:r>
        <w:rPr>
          <w:rStyle w:val="apple-converted-space"/>
          <w:rFonts w:eastAsiaTheme="majorEastAsia"/>
          <w:color w:val="000000"/>
        </w:rPr>
        <w:t> </w:t>
      </w:r>
      <w:r>
        <w:rPr>
          <w:color w:val="000000"/>
        </w:rPr>
        <w:t>and other multidrug-resistant pathogens.</w:t>
      </w:r>
    </w:p>
    <w:p w14:paraId="4CA8829D" w14:textId="77777777" w:rsidR="00BD2A04" w:rsidRPr="005363BF" w:rsidRDefault="00BD2A04" w:rsidP="00BD2A04">
      <w:pPr>
        <w:pStyle w:val="NormalWeb"/>
        <w:rPr>
          <w:rStyle w:val="Strong"/>
          <w:b w:val="0"/>
          <w:bCs w:val="0"/>
          <w:color w:val="000000"/>
        </w:rPr>
      </w:pPr>
      <w:r>
        <w:rPr>
          <w:rStyle w:val="Strong"/>
          <w:rFonts w:eastAsiaTheme="majorEastAsia"/>
          <w:color w:val="000000"/>
        </w:rPr>
        <w:t>Keywords</w:t>
      </w:r>
      <w:r>
        <w:rPr>
          <w:color w:val="000000"/>
        </w:rPr>
        <w:br/>
        <w:t>Antimicrobial Resistance (AMR), Imipenem-resistant</w:t>
      </w:r>
      <w:r>
        <w:rPr>
          <w:rStyle w:val="apple-converted-space"/>
          <w:rFonts w:eastAsiaTheme="majorEastAsia"/>
          <w:color w:val="000000"/>
        </w:rPr>
        <w:t> </w:t>
      </w:r>
      <w:r>
        <w:rPr>
          <w:rStyle w:val="Emphasis"/>
          <w:rFonts w:eastAsiaTheme="majorEastAsia"/>
          <w:color w:val="000000"/>
        </w:rPr>
        <w:t>E. coli</w:t>
      </w:r>
      <w:r>
        <w:rPr>
          <w:color w:val="000000"/>
        </w:rPr>
        <w:t>, drug targets, GIS Analysis, Vet-LIRN, Genomics, subtractive genomics, DrugBank, Druggability.</w:t>
      </w:r>
    </w:p>
    <w:p w14:paraId="5BCADF70" w14:textId="77777777" w:rsidR="00611871" w:rsidRDefault="00611871"/>
    <w:sectPr w:rsidR="0061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04"/>
    <w:rsid w:val="00046630"/>
    <w:rsid w:val="00127EB8"/>
    <w:rsid w:val="0013031D"/>
    <w:rsid w:val="00275880"/>
    <w:rsid w:val="002C13A2"/>
    <w:rsid w:val="00530F51"/>
    <w:rsid w:val="00611871"/>
    <w:rsid w:val="00BD2A04"/>
    <w:rsid w:val="00D8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53553D"/>
  <w15:chartTrackingRefBased/>
  <w15:docId w15:val="{E3B2DD6C-9C1D-FE49-AE89-AF384615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A0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D2A0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D2A0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D2A04"/>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D2A04"/>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D2A04"/>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D2A04"/>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D2A04"/>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D2A04"/>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D2A04"/>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A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A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A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A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A04"/>
    <w:rPr>
      <w:rFonts w:eastAsiaTheme="majorEastAsia" w:cstheme="majorBidi"/>
      <w:color w:val="272727" w:themeColor="text1" w:themeTint="D8"/>
    </w:rPr>
  </w:style>
  <w:style w:type="paragraph" w:styleId="Title">
    <w:name w:val="Title"/>
    <w:basedOn w:val="Normal"/>
    <w:next w:val="Normal"/>
    <w:link w:val="TitleChar"/>
    <w:uiPriority w:val="10"/>
    <w:qFormat/>
    <w:rsid w:val="00BD2A04"/>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D2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A0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D2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A04"/>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D2A04"/>
    <w:rPr>
      <w:i/>
      <w:iCs/>
      <w:color w:val="404040" w:themeColor="text1" w:themeTint="BF"/>
    </w:rPr>
  </w:style>
  <w:style w:type="paragraph" w:styleId="ListParagraph">
    <w:name w:val="List Paragraph"/>
    <w:basedOn w:val="Normal"/>
    <w:uiPriority w:val="34"/>
    <w:qFormat/>
    <w:rsid w:val="00BD2A04"/>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D2A04"/>
    <w:rPr>
      <w:i/>
      <w:iCs/>
      <w:color w:val="0F4761" w:themeColor="accent1" w:themeShade="BF"/>
    </w:rPr>
  </w:style>
  <w:style w:type="paragraph" w:styleId="IntenseQuote">
    <w:name w:val="Intense Quote"/>
    <w:basedOn w:val="Normal"/>
    <w:next w:val="Normal"/>
    <w:link w:val="IntenseQuoteChar"/>
    <w:uiPriority w:val="30"/>
    <w:qFormat/>
    <w:rsid w:val="00BD2A0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D2A04"/>
    <w:rPr>
      <w:i/>
      <w:iCs/>
      <w:color w:val="0F4761" w:themeColor="accent1" w:themeShade="BF"/>
    </w:rPr>
  </w:style>
  <w:style w:type="character" w:styleId="IntenseReference">
    <w:name w:val="Intense Reference"/>
    <w:basedOn w:val="DefaultParagraphFont"/>
    <w:uiPriority w:val="32"/>
    <w:qFormat/>
    <w:rsid w:val="00BD2A04"/>
    <w:rPr>
      <w:b/>
      <w:bCs/>
      <w:smallCaps/>
      <w:color w:val="0F4761" w:themeColor="accent1" w:themeShade="BF"/>
      <w:spacing w:val="5"/>
    </w:rPr>
  </w:style>
  <w:style w:type="paragraph" w:styleId="NormalWeb">
    <w:name w:val="Normal (Web)"/>
    <w:basedOn w:val="Normal"/>
    <w:uiPriority w:val="99"/>
    <w:unhideWhenUsed/>
    <w:rsid w:val="00BD2A04"/>
    <w:pPr>
      <w:spacing w:before="100" w:beforeAutospacing="1" w:after="100" w:afterAutospacing="1"/>
    </w:pPr>
  </w:style>
  <w:style w:type="character" w:customStyle="1" w:styleId="apple-converted-space">
    <w:name w:val="apple-converted-space"/>
    <w:basedOn w:val="DefaultParagraphFont"/>
    <w:rsid w:val="00BD2A04"/>
  </w:style>
  <w:style w:type="character" w:styleId="Emphasis">
    <w:name w:val="Emphasis"/>
    <w:basedOn w:val="DefaultParagraphFont"/>
    <w:uiPriority w:val="20"/>
    <w:qFormat/>
    <w:rsid w:val="00BD2A04"/>
    <w:rPr>
      <w:i/>
      <w:iCs/>
    </w:rPr>
  </w:style>
  <w:style w:type="character" w:styleId="Hyperlink">
    <w:name w:val="Hyperlink"/>
    <w:basedOn w:val="DefaultParagraphFont"/>
    <w:uiPriority w:val="99"/>
    <w:unhideWhenUsed/>
    <w:rsid w:val="00BD2A04"/>
    <w:rPr>
      <w:color w:val="0000FF"/>
      <w:u w:val="single"/>
    </w:rPr>
  </w:style>
  <w:style w:type="character" w:styleId="Strong">
    <w:name w:val="Strong"/>
    <w:basedOn w:val="DefaultParagraphFont"/>
    <w:uiPriority w:val="22"/>
    <w:qFormat/>
    <w:rsid w:val="00BD2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piyo@patiradatasc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Opiyo</dc:creator>
  <cp:keywords/>
  <dc:description/>
  <cp:lastModifiedBy>Stephen Opiyo</cp:lastModifiedBy>
  <cp:revision>5</cp:revision>
  <dcterms:created xsi:type="dcterms:W3CDTF">2025-02-21T00:31:00Z</dcterms:created>
  <dcterms:modified xsi:type="dcterms:W3CDTF">2025-03-08T09:25:00Z</dcterms:modified>
</cp:coreProperties>
</file>