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تشريع تجريبي للاستيراد</w:t>
      </w:r>
    </w:p>
    <w:p>
      <w:r>
        <w:t>المادة (1): يحفظ المال العام وفق أحكام القانون.</w:t>
      </w:r>
    </w:p>
    <w:p>
      <w:r>
        <w:t>المادة (2): يعمل بهذا النص من تاريخ نشره.</w:t>
      </w:r>
    </w:p>
    <w:sectPr/>
  </w:body>
</w:document>
</file>