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gp47f5hoh02p" w:id="0"/>
      <w:bookmarkEnd w:id="0"/>
      <w:r w:rsidDel="00000000" w:rsidR="00000000" w:rsidRPr="00000000">
        <w:rPr>
          <w:rtl w:val="0"/>
        </w:rPr>
        <w:t xml:space="preserve">Business Case</w:t>
      </w:r>
    </w:p>
    <w:p w:rsidR="00000000" w:rsidDel="00000000" w:rsidP="00000000" w:rsidRDefault="00000000" w:rsidRPr="00000000" w14:paraId="00000002">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 Transformation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Hossein Agha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Team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 Operations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Concert Team</w:t>
            </w:r>
          </w:p>
        </w:tc>
      </w:tr>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10311998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Approach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Funding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Operations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MOP- End of life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Investment Cost ($MM, Incl. Contingency)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$2.08MM ($0.53MM Exp/ $1.55MM Cap)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Contingency ($MM)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$0.10MM ($0.05MM Exp/$0.05MM Cap)</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Plan for Current Year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Year Spend vs. Plan ($MM)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NPV (5-Yr)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 (5-Yr)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Payback (Yrs)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FTE Up/(Down)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Annual Ongoing Cost (excl. Depreciation)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plan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F25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4313hhqvlzyo" w:id="1"/>
      <w:bookmarkEnd w:id="1"/>
      <w:r w:rsidDel="00000000" w:rsidR="00000000" w:rsidRPr="00000000">
        <w:rPr>
          <w:rtl w:val="0"/>
        </w:rPr>
        <w:t xml:space="preserve">1. Investment/Regulation and Solution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41">
      <w:pPr>
        <w:rPr/>
      </w:pPr>
      <w:r w:rsidDel="00000000" w:rsidR="00000000" w:rsidRPr="00000000">
        <w:rPr>
          <w:rtl w:val="0"/>
        </w:rPr>
        <w:t xml:space="preserve">Our current FUN production is not producing enough profits in order to continue. We will be retiring the FUN application and supporting users from the transition to utilizing it to another application that will be released to replace it and have updated capabilities.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Proposed Solution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Decrease the amount of marketing and events surrounding the FUN project in order to decrease activity around it. Also will be implementing a slow removal of events and activities so that app may proceed to end of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F25 we will solely focus on ensuring the app can support deviation closure and eventual app retirement.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tblGridChange w:id="0">
          <w:tblGrid>
            <w:gridCol w:w="2880"/>
            <w:gridCol w:w="2880"/>
            <w:gridCol w:w="2880"/>
            <w:gridCol w:w="28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Impacted Application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Application Tier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Strategic/Non-Strategic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 for completing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Wealth Integrated Service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Wealth specific components need to be adjusted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 for Brokerage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is nearing end of funding and needs to be adjusted to be eventually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initiative introducing a new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new application will be introduced after FUN is decommissioned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there an opportunity to decommission/retire an existing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 will be decommissioned by end of FY26</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xc9lbwg7qaup" w:id="2"/>
      <w:bookmarkEnd w:id="2"/>
      <w:r w:rsidDel="00000000" w:rsidR="00000000" w:rsidRPr="00000000">
        <w:rPr>
          <w:rtl w:val="0"/>
        </w:rPr>
        <w:t xml:space="preserve">2. </w:t>
      </w:r>
      <w:r w:rsidDel="00000000" w:rsidR="00000000" w:rsidRPr="00000000">
        <w:rPr>
          <w:rtl w:val="0"/>
        </w:rPr>
        <w:t xml:space="preserve">Risk and Mitigation</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Criteria</w:t>
            </w:r>
          </w:p>
        </w:tc>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Outcome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Assessment Required</w:t>
            </w:r>
          </w:p>
        </w:tc>
        <w:tc>
          <w:tcPr>
            <w:gridSpan w:val="5"/>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RIS Initiated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 Reference Name</w:t>
            </w:r>
          </w:p>
        </w:tc>
        <w:tc>
          <w:tcPr>
            <w:gridSpan w:val="5"/>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FUN Transformation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 Reference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RIS-1377</w:t>
            </w:r>
          </w:p>
        </w:tc>
      </w:tr>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and Medium Inherent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Inherent Risk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Residual Risk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Mitigation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the apps, approval, active active platform with two copies.</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m5qa7qtgiarf" w:id="3"/>
      <w:bookmarkEnd w:id="3"/>
      <w:r w:rsidDel="00000000" w:rsidR="00000000" w:rsidRPr="00000000">
        <w:rPr>
          <w:rtl w:val="0"/>
        </w:rPr>
        <w:t xml:space="preserve">3. Financial Benefit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N/A</w:t>
      </w:r>
    </w:p>
    <w:p w:rsidR="00000000" w:rsidDel="00000000" w:rsidP="00000000" w:rsidRDefault="00000000" w:rsidRPr="00000000" w14:paraId="00000095">
      <w:pPr>
        <w:pStyle w:val="Heading2"/>
        <w:rPr/>
      </w:pPr>
      <w:bookmarkStart w:colFirst="0" w:colLast="0" w:name="_bf82l76a30d7" w:id="4"/>
      <w:bookmarkEnd w:id="4"/>
      <w:r w:rsidDel="00000000" w:rsidR="00000000" w:rsidRPr="00000000">
        <w:rPr>
          <w:rtl w:val="0"/>
        </w:rPr>
        <w:t xml:space="preserve">4. </w:t>
      </w:r>
      <w:r w:rsidDel="00000000" w:rsidR="00000000" w:rsidRPr="00000000">
        <w:rPr>
          <w:rtl w:val="0"/>
        </w:rPr>
        <w:t xml:space="preserve">Non-Financial Benefit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jgkqc9s2to86" w:id="5"/>
      <w:bookmarkEnd w:id="5"/>
      <w:r w:rsidDel="00000000" w:rsidR="00000000" w:rsidRPr="00000000">
        <w:rPr>
          <w:rtl w:val="0"/>
        </w:rPr>
        <w:t xml:space="preserve">5. </w:t>
      </w:r>
      <w:r w:rsidDel="00000000" w:rsidR="00000000" w:rsidRPr="00000000">
        <w:rPr>
          <w:rtl w:val="0"/>
        </w:rPr>
        <w:t xml:space="preserve">Schedule Milestones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gridCol w:w="2304"/>
        <w:gridCol w:w="2304"/>
        <w:gridCol w:w="2304"/>
        <w:tblGridChange w:id="0">
          <w:tblGrid>
            <w:gridCol w:w="2304"/>
            <w:gridCol w:w="2304"/>
            <w:gridCol w:w="2304"/>
            <w:gridCol w:w="2304"/>
            <w:gridCol w:w="23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Case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 Realization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31,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31,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5, 2027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31, 2025</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sjjxy6ob4y1h" w:id="6"/>
      <w:bookmarkEnd w:id="6"/>
      <w:r w:rsidDel="00000000" w:rsidR="00000000" w:rsidRPr="00000000">
        <w:rPr>
          <w:rtl w:val="0"/>
        </w:rPr>
        <w:t xml:space="preserve">6. </w:t>
      </w:r>
      <w:r w:rsidDel="00000000" w:rsidR="00000000" w:rsidRPr="00000000">
        <w:rPr>
          <w:sz w:val="32"/>
          <w:szCs w:val="32"/>
          <w:rtl w:val="0"/>
        </w:rPr>
        <w:t xml:space="preserve">Schedule Milestones</w:t>
      </w:r>
      <w:r w:rsidDel="00000000" w:rsidR="00000000" w:rsidRPr="00000000">
        <w:rPr>
          <w:rtl w:val="0"/>
        </w:rPr>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1wu9id710hk6" w:id="7"/>
      <w:bookmarkEnd w:id="7"/>
      <w:r w:rsidDel="00000000" w:rsidR="00000000" w:rsidRPr="00000000">
        <w:rPr>
          <w:rtl w:val="0"/>
        </w:rPr>
        <w:t xml:space="preserve">7. Detailed Financials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7116793" cy="142743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16793" cy="142743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7315200" cy="177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15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7315200" cy="3429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315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9" w:type="default"/>
      <w:pgSz w:h="15840" w:w="12240" w:orient="portrait"/>
      <w:pgMar w:bottom="1440" w:top="14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drawing>
        <wp:inline distB="114300" distT="114300" distL="114300" distR="114300">
          <wp:extent cx="663156" cy="585788"/>
          <wp:effectExtent b="0" l="0" r="0" t="0"/>
          <wp:docPr id="1" name="image1.png"/>
          <a:graphic>
            <a:graphicData uri="http://schemas.openxmlformats.org/drawingml/2006/picture">
              <pic:pic>
                <pic:nvPicPr>
                  <pic:cNvPr id="0" name="image1.png"/>
                  <pic:cNvPicPr preferRelativeResize="0"/>
                </pic:nvPicPr>
                <pic:blipFill>
                  <a:blip r:embed="rId1"/>
                  <a:srcRect b="14102" l="30288" r="31250" t="17948"/>
                  <a:stretch>
                    <a:fillRect/>
                  </a:stretch>
                </pic:blipFill>
                <pic:spPr>
                  <a:xfrm>
                    <a:off x="0" y="0"/>
                    <a:ext cx="663156" cy="585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