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b/>
          <w:bCs/>
          <w:color w:val="1F3864"/>
          <w:sz w:val="44"/>
          <w:szCs w:val="44"/>
        </w:rPr>
        <w:t xml:space="preserve">RavenStack SaaS Analytics</w:t>
      </w:r>
    </w:p>
    <w:p>
      <w:pPr>
        <w:spacing w:after="60"/>
      </w:pPr>
      <w:r>
        <w:rPr>
          <w:b/>
          <w:bCs/>
          <w:color w:val="2E74B5"/>
          <w:sz w:val="30"/>
          <w:szCs w:val="30"/>
        </w:rPr>
        <w:t xml:space="preserve">Executive Findings &amp; Recommendations Report</w:t>
      </w:r>
    </w:p>
    <w:p>
      <w:pPr>
        <w:spacing w:after="500"/>
      </w:pPr>
      <w:r>
        <w:rPr>
          <w:i/>
          <w:iCs/>
          <w:color w:val="595959"/>
          <w:sz w:val="20"/>
          <w:szCs w:val="20"/>
        </w:rPr>
        <w:t xml:space="preserve">Prepared for: Executive Leadership  |  Based on Accounts, Subscriptions, Feature Usage, Support Tickets, and Churn Events data (Jan 2023 – Dec 2024, 500 accounts)</w:t>
      </w:r>
    </w:p>
    <w:p>
      <w:pPr>
        <w:pStyle w:val="Heading1"/>
        <w:pBdr>
          <w:bottom w:val="single" w:color="2E74B5" w:sz="6" w:space="4"/>
        </w:pBdr>
        <w:spacing w:after="160" w:before="320"/>
      </w:pPr>
      <w:r>
        <w:rPr>
          <w:b/>
          <w:bCs/>
          <w:color w:val="1F3864"/>
          <w:sz w:val="30"/>
          <w:szCs w:val="30"/>
        </w:rPr>
        <w:t xml:space="preserve">Executive Summary</w:t>
      </w:r>
    </w:p>
    <w:p>
      <w:pPr>
        <w:spacing w:after="160" w:line="300"/>
      </w:pPr>
      <w:r>
        <w:rPr>
          <w:color w:val="262626"/>
          <w:sz w:val="22"/>
          <w:szCs w:val="22"/>
        </w:rPr>
        <w:t xml:space="preserve">This report summarizes findings from a full-funnel analysis of RavenStack's customer base, revenue, product engagement, and support operations across a 500-account, 24-month dataset. The analysis combined SQL-based data modeling, statistical validation, and an interactive Power BI dashboard covering Overview, Revenue &amp; Plans, Product Engagement, Support Quality, and Churn Diagnostics.</w:t>
      </w:r>
    </w:p>
    <w:p>
      <w:pPr>
        <w:spacing w:after="160" w:line="300"/>
      </w:pPr>
      <w:r>
        <w:rPr>
          <w:color w:val="262626"/>
          <w:sz w:val="22"/>
          <w:szCs w:val="22"/>
        </w:rPr>
        <w:t xml:space="preserve">The headline finding is not a single number — it is a pattern: account-level behavioral signals (satisfaction, support escalations, feature usage) do not meaningfully predict which customers churn in this dataset. This was confirmed through two independent SQL-based analyses — a direct cohort comparison and a data-driven risk-tiering exercise — which converged on the same conclusion. Where real, actionable signal does exist is at the segment level: specific industries, specific referral channels, and specific churn reasons show meaningful, consistent differences worth acting on.</w:t>
      </w:r>
    </w:p>
    <w:p>
      <w:pPr>
        <w:pStyle w:val="Heading1"/>
        <w:pBdr>
          <w:bottom w:val="single" w:color="2E74B5" w:sz="6" w:space="4"/>
        </w:pBdr>
        <w:spacing w:after="160" w:before="320"/>
      </w:pPr>
      <w:r>
        <w:rPr>
          <w:b/>
          <w:bCs/>
          <w:color w:val="1F3864"/>
          <w:sz w:val="30"/>
          <w:szCs w:val="30"/>
        </w:rPr>
        <w:t xml:space="preserve">KPI Snapshot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600"/>
      </w:tblGrid>
      <w:tr>
        <w:tc>
          <w:tcPr>
            <w:shd w:fill="1F3864" w:val="clear"/>
            <w:tcMar>
              <w:top w:type="dxa" w:w="100"/>
              <w:left w:type="dxa" w:w="120"/>
              <w:bottom w:type="dxa" w:w="100"/>
              <w:right w:type="dxa" w:w="120"/>
            </w:tcMar>
          </w:tcPr>
          <w:p>
            <w:r>
              <w:rPr>
                <w:b/>
                <w:bCs/>
                <w:color w:val="FFFFFF"/>
                <w:sz w:val="20"/>
                <w:szCs w:val="20"/>
              </w:rPr>
              <w:t xml:space="preserve">Metric</w:t>
            </w:r>
          </w:p>
        </w:tc>
        <w:tc>
          <w:tcPr>
            <w:shd w:fill="1F3864" w:val="clear"/>
            <w:tcMar>
              <w:top w:type="dxa" w:w="100"/>
              <w:left w:type="dxa" w:w="120"/>
              <w:bottom w:type="dxa" w:w="100"/>
              <w:right w:type="dxa" w:w="120"/>
            </w:tcMar>
          </w:tcPr>
          <w:p>
            <w:r>
              <w:rPr>
                <w:b/>
                <w:bCs/>
                <w:color w:val="FFFFFF"/>
                <w:sz w:val="20"/>
                <w:szCs w:val="20"/>
              </w:rPr>
              <w:t xml:space="preserve">Value</w:t>
            </w:r>
          </w:p>
        </w:tc>
        <w:tc>
          <w:tcPr>
            <w:shd w:fill="1F3864" w:val="clear"/>
            <w:tcMar>
              <w:top w:type="dxa" w:w="100"/>
              <w:left w:type="dxa" w:w="120"/>
              <w:bottom w:type="dxa" w:w="100"/>
              <w:right w:type="dxa" w:w="120"/>
            </w:tcMar>
          </w:tcPr>
          <w:p>
            <w:r>
              <w:rPr>
                <w:b/>
                <w:bCs/>
                <w:color w:val="FFFFFF"/>
                <w:sz w:val="20"/>
                <w:szCs w:val="20"/>
              </w:rPr>
              <w:t xml:space="preserve">Source</w:t>
            </w:r>
          </w:p>
        </w:tc>
      </w:tr>
      <w:tr>
        <w:tc>
          <w:tcPr>
            <w:shd w:fill="FFFFFF" w:val="clear"/>
            <w:tcMar>
              <w:top w:type="dxa" w:w="90"/>
              <w:left w:type="dxa" w:w="120"/>
              <w:bottom w:type="dxa" w:w="90"/>
              <w:right w:type="dxa" w:w="120"/>
            </w:tcMar>
          </w:tcPr>
          <w:p>
            <w:r>
              <w:rPr>
                <w:color w:val="262626"/>
                <w:sz w:val="20"/>
                <w:szCs w:val="20"/>
              </w:rPr>
              <w:t xml:space="preserve">Total Accounts</w:t>
            </w:r>
          </w:p>
        </w:tc>
        <w:tc>
          <w:tcPr>
            <w:shd w:fill="FFFFFF" w:val="clear"/>
            <w:tcMar>
              <w:top w:type="dxa" w:w="90"/>
              <w:left w:type="dxa" w:w="120"/>
              <w:bottom w:type="dxa" w:w="90"/>
              <w:right w:type="dxa" w:w="120"/>
            </w:tcMar>
          </w:tcPr>
          <w:p>
            <w:r>
              <w:rPr>
                <w:color w:val="262626"/>
                <w:sz w:val="20"/>
                <w:szCs w:val="20"/>
              </w:rPr>
              <w:t xml:space="preserve">500</w:t>
            </w:r>
          </w:p>
        </w:tc>
        <w:tc>
          <w:tcPr>
            <w:shd w:fill="FFFFFF" w:val="clear"/>
            <w:tcMar>
              <w:top w:type="dxa" w:w="90"/>
              <w:left w:type="dxa" w:w="120"/>
              <w:bottom w:type="dxa" w:w="90"/>
              <w:right w:type="dxa" w:w="120"/>
            </w:tcMar>
          </w:tcPr>
          <w:p>
            <w:r>
              <w:rPr>
                <w:color w:val="262626"/>
                <w:sz w:val="20"/>
                <w:szCs w:val="20"/>
              </w:rPr>
              <w:t xml:space="preserve">dim_account</w:t>
            </w:r>
          </w:p>
        </w:tc>
      </w:tr>
      <w:tr>
        <w:tc>
          <w:tcPr>
            <w:shd w:fill="EAF1FB" w:val="clear"/>
            <w:tcMar>
              <w:top w:type="dxa" w:w="90"/>
              <w:left w:type="dxa" w:w="120"/>
              <w:bottom w:type="dxa" w:w="90"/>
              <w:right w:type="dxa" w:w="120"/>
            </w:tcMar>
          </w:tcPr>
          <w:p>
            <w:r>
              <w:rPr>
                <w:color w:val="262626"/>
                <w:sz w:val="20"/>
                <w:szCs w:val="20"/>
              </w:rPr>
              <w:t xml:space="preserve">Total MRR (all-time)</w:t>
            </w:r>
          </w:p>
        </w:tc>
        <w:tc>
          <w:tcPr>
            <w:shd w:fill="EAF1FB" w:val="clear"/>
            <w:tcMar>
              <w:top w:type="dxa" w:w="90"/>
              <w:left w:type="dxa" w:w="120"/>
              <w:bottom w:type="dxa" w:w="90"/>
              <w:right w:type="dxa" w:w="120"/>
            </w:tcMar>
          </w:tcPr>
          <w:p>
            <w:r>
              <w:rPr>
                <w:color w:val="262626"/>
                <w:sz w:val="20"/>
                <w:szCs w:val="20"/>
              </w:rPr>
              <w:t xml:space="preserve">$11.34M</w:t>
            </w:r>
          </w:p>
        </w:tc>
        <w:tc>
          <w:tcPr>
            <w:shd w:fill="EAF1FB" w:val="clear"/>
            <w:tcMar>
              <w:top w:type="dxa" w:w="90"/>
              <w:left w:type="dxa" w:w="120"/>
              <w:bottom w:type="dxa" w:w="90"/>
              <w:right w:type="dxa" w:w="120"/>
            </w:tcMar>
          </w:tcPr>
          <w:p>
            <w:r>
              <w:rPr>
                <w:color w:val="262626"/>
                <w:sz w:val="20"/>
                <w:szCs w:val="20"/>
              </w:rPr>
              <w:t xml:space="preserve">fact_account_summary</w:t>
            </w:r>
          </w:p>
        </w:tc>
      </w:tr>
      <w:tr>
        <w:tc>
          <w:tcPr>
            <w:shd w:fill="FFFFFF" w:val="clear"/>
            <w:tcMar>
              <w:top w:type="dxa" w:w="90"/>
              <w:left w:type="dxa" w:w="120"/>
              <w:bottom w:type="dxa" w:w="90"/>
              <w:right w:type="dxa" w:w="120"/>
            </w:tcMar>
          </w:tcPr>
          <w:p>
            <w:r>
              <w:rPr>
                <w:color w:val="262626"/>
                <w:sz w:val="20"/>
                <w:szCs w:val="20"/>
              </w:rPr>
              <w:t xml:space="preserve">Total ARR (estimate)</w:t>
            </w:r>
          </w:p>
        </w:tc>
        <w:tc>
          <w:tcPr>
            <w:shd w:fill="FFFFFF" w:val="clear"/>
            <w:tcMar>
              <w:top w:type="dxa" w:w="90"/>
              <w:left w:type="dxa" w:w="120"/>
              <w:bottom w:type="dxa" w:w="90"/>
              <w:right w:type="dxa" w:w="120"/>
            </w:tcMar>
          </w:tcPr>
          <w:p>
            <w:r>
              <w:rPr>
                <w:color w:val="262626"/>
                <w:sz w:val="20"/>
                <w:szCs w:val="20"/>
              </w:rPr>
              <w:t xml:space="preserve">$136.06M</w:t>
            </w:r>
          </w:p>
        </w:tc>
        <w:tc>
          <w:tcPr>
            <w:shd w:fill="FFFFFF" w:val="clear"/>
            <w:tcMar>
              <w:top w:type="dxa" w:w="90"/>
              <w:left w:type="dxa" w:w="120"/>
              <w:bottom w:type="dxa" w:w="90"/>
              <w:right w:type="dxa" w:w="120"/>
            </w:tcMar>
          </w:tcPr>
          <w:p>
            <w:r>
              <w:rPr>
                <w:color w:val="262626"/>
                <w:sz w:val="20"/>
                <w:szCs w:val="20"/>
              </w:rPr>
              <w:t xml:space="preserve">MRR × 12</w:t>
            </w:r>
          </w:p>
        </w:tc>
      </w:tr>
      <w:tr>
        <w:tc>
          <w:tcPr>
            <w:shd w:fill="EAF1FB" w:val="clear"/>
            <w:tcMar>
              <w:top w:type="dxa" w:w="90"/>
              <w:left w:type="dxa" w:w="120"/>
              <w:bottom w:type="dxa" w:w="90"/>
              <w:right w:type="dxa" w:w="120"/>
            </w:tcMar>
          </w:tcPr>
          <w:p>
            <w:r>
              <w:rPr>
                <w:color w:val="262626"/>
                <w:sz w:val="20"/>
                <w:szCs w:val="20"/>
              </w:rPr>
              <w:t xml:space="preserve">ARPA</w:t>
            </w:r>
          </w:p>
        </w:tc>
        <w:tc>
          <w:tcPr>
            <w:shd w:fill="EAF1FB" w:val="clear"/>
            <w:tcMar>
              <w:top w:type="dxa" w:w="90"/>
              <w:left w:type="dxa" w:w="120"/>
              <w:bottom w:type="dxa" w:w="90"/>
              <w:right w:type="dxa" w:w="120"/>
            </w:tcMar>
          </w:tcPr>
          <w:p>
            <w:r>
              <w:rPr>
                <w:color w:val="262626"/>
                <w:sz w:val="20"/>
                <w:szCs w:val="20"/>
              </w:rPr>
              <w:t xml:space="preserve">$22,677</w:t>
            </w:r>
          </w:p>
        </w:tc>
        <w:tc>
          <w:tcPr>
            <w:shd w:fill="EAF1FB" w:val="clear"/>
            <w:tcMar>
              <w:top w:type="dxa" w:w="90"/>
              <w:left w:type="dxa" w:w="120"/>
              <w:bottom w:type="dxa" w:w="90"/>
              <w:right w:type="dxa" w:w="120"/>
            </w:tcMar>
          </w:tcPr>
          <w:p>
            <w:r>
              <w:rPr>
                <w:color w:val="262626"/>
                <w:sz w:val="20"/>
                <w:szCs w:val="20"/>
              </w:rPr>
              <w:t xml:space="preserve">fact_account_summary</w:t>
            </w:r>
          </w:p>
        </w:tc>
      </w:tr>
      <w:tr>
        <w:tc>
          <w:tcPr>
            <w:shd w:fill="FFFFFF" w:val="clear"/>
            <w:tcMar>
              <w:top w:type="dxa" w:w="90"/>
              <w:left w:type="dxa" w:w="120"/>
              <w:bottom w:type="dxa" w:w="90"/>
              <w:right w:type="dxa" w:w="120"/>
            </w:tcMar>
          </w:tcPr>
          <w:p>
            <w:r>
              <w:rPr>
                <w:color w:val="262626"/>
                <w:sz w:val="20"/>
                <w:szCs w:val="20"/>
              </w:rPr>
              <w:t xml:space="preserve">Customer Churn Rate</w:t>
            </w:r>
          </w:p>
        </w:tc>
        <w:tc>
          <w:tcPr>
            <w:shd w:fill="FFFFFF" w:val="clear"/>
            <w:tcMar>
              <w:top w:type="dxa" w:w="90"/>
              <w:left w:type="dxa" w:w="120"/>
              <w:bottom w:type="dxa" w:w="90"/>
              <w:right w:type="dxa" w:w="120"/>
            </w:tcMar>
          </w:tcPr>
          <w:p>
            <w:r>
              <w:rPr>
                <w:color w:val="262626"/>
                <w:sz w:val="20"/>
                <w:szCs w:val="20"/>
              </w:rPr>
              <w:t xml:space="preserve">22% (110 accounts)</w:t>
            </w:r>
          </w:p>
        </w:tc>
        <w:tc>
          <w:tcPr>
            <w:shd w:fill="FFFFFF" w:val="clear"/>
            <w:tcMar>
              <w:top w:type="dxa" w:w="90"/>
              <w:left w:type="dxa" w:w="120"/>
              <w:bottom w:type="dxa" w:w="90"/>
              <w:right w:type="dxa" w:w="120"/>
            </w:tcMar>
          </w:tcPr>
          <w:p>
            <w:r>
              <w:rPr>
                <w:color w:val="262626"/>
                <w:sz w:val="20"/>
                <w:szCs w:val="20"/>
              </w:rPr>
              <w:t xml:space="preserve">accounts.churn_flag</w:t>
            </w:r>
          </w:p>
        </w:tc>
      </w:tr>
      <w:tr>
        <w:tc>
          <w:tcPr>
            <w:shd w:fill="EAF1FB" w:val="clear"/>
            <w:tcMar>
              <w:top w:type="dxa" w:w="90"/>
              <w:left w:type="dxa" w:w="120"/>
              <w:bottom w:type="dxa" w:w="90"/>
              <w:right w:type="dxa" w:w="120"/>
            </w:tcMar>
          </w:tcPr>
          <w:p>
            <w:r>
              <w:rPr>
                <w:color w:val="262626"/>
                <w:sz w:val="20"/>
                <w:szCs w:val="20"/>
              </w:rPr>
              <w:t xml:space="preserve">MRR Lost to Churn</w:t>
            </w:r>
          </w:p>
        </w:tc>
        <w:tc>
          <w:tcPr>
            <w:shd w:fill="EAF1FB" w:val="clear"/>
            <w:tcMar>
              <w:top w:type="dxa" w:w="90"/>
              <w:left w:type="dxa" w:w="120"/>
              <w:bottom w:type="dxa" w:w="90"/>
              <w:right w:type="dxa" w:w="120"/>
            </w:tcMar>
          </w:tcPr>
          <w:p>
            <w:r>
              <w:rPr>
                <w:color w:val="262626"/>
                <w:sz w:val="20"/>
                <w:szCs w:val="20"/>
              </w:rPr>
              <w:t xml:space="preserve">$2.36M</w:t>
            </w:r>
          </w:p>
        </w:tc>
        <w:tc>
          <w:tcPr>
            <w:shd w:fill="EAF1FB" w:val="clear"/>
            <w:tcMar>
              <w:top w:type="dxa" w:w="90"/>
              <w:left w:type="dxa" w:w="120"/>
              <w:bottom w:type="dxa" w:w="90"/>
              <w:right w:type="dxa" w:w="120"/>
            </w:tcMar>
          </w:tcPr>
          <w:p>
            <w:r>
              <w:rPr>
                <w:color w:val="262626"/>
                <w:sz w:val="20"/>
                <w:szCs w:val="20"/>
              </w:rPr>
              <w:t xml:space="preserve">fact_account_summary</w:t>
            </w:r>
          </w:p>
        </w:tc>
      </w:tr>
      <w:tr>
        <w:tc>
          <w:tcPr>
            <w:shd w:fill="FFFFFF" w:val="clear"/>
            <w:tcMar>
              <w:top w:type="dxa" w:w="90"/>
              <w:left w:type="dxa" w:w="120"/>
              <w:bottom w:type="dxa" w:w="90"/>
              <w:right w:type="dxa" w:w="120"/>
            </w:tcMar>
          </w:tcPr>
          <w:p>
            <w:r>
              <w:rPr>
                <w:color w:val="262626"/>
                <w:sz w:val="20"/>
                <w:szCs w:val="20"/>
              </w:rPr>
              <w:t xml:space="preserve">LTV (empirical, realized revenue)</w:t>
            </w:r>
          </w:p>
        </w:tc>
        <w:tc>
          <w:tcPr>
            <w:shd w:fill="FFFFFF" w:val="clear"/>
            <w:tcMar>
              <w:top w:type="dxa" w:w="90"/>
              <w:left w:type="dxa" w:w="120"/>
              <w:bottom w:type="dxa" w:w="90"/>
              <w:right w:type="dxa" w:w="120"/>
            </w:tcMar>
          </w:tcPr>
          <w:p>
            <w:r>
              <w:rPr>
                <w:color w:val="262626"/>
                <w:sz w:val="20"/>
                <w:szCs w:val="20"/>
              </w:rPr>
              <w:t xml:space="preserve">$10,242</w:t>
            </w:r>
          </w:p>
        </w:tc>
        <w:tc>
          <w:tcPr>
            <w:shd w:fill="FFFFFF" w:val="clear"/>
            <w:tcMar>
              <w:top w:type="dxa" w:w="90"/>
              <w:left w:type="dxa" w:w="120"/>
              <w:bottom w:type="dxa" w:w="90"/>
              <w:right w:type="dxa" w:w="120"/>
            </w:tcMar>
          </w:tcPr>
          <w:p>
            <w:r>
              <w:rPr>
                <w:color w:val="262626"/>
                <w:sz w:val="20"/>
                <w:szCs w:val="20"/>
              </w:rPr>
              <w:t xml:space="preserve">fact_subscriptions</w:t>
            </w:r>
          </w:p>
        </w:tc>
      </w:tr>
      <w:tr>
        <w:tc>
          <w:tcPr>
            <w:shd w:fill="EAF1FB" w:val="clear"/>
            <w:tcMar>
              <w:top w:type="dxa" w:w="90"/>
              <w:left w:type="dxa" w:w="120"/>
              <w:bottom w:type="dxa" w:w="90"/>
              <w:right w:type="dxa" w:w="120"/>
            </w:tcMar>
          </w:tcPr>
          <w:p>
            <w:r>
              <w:rPr>
                <w:color w:val="262626"/>
                <w:sz w:val="20"/>
                <w:szCs w:val="20"/>
              </w:rPr>
              <w:t xml:space="preserve">Trial-to-Paid Conversion</w:t>
            </w:r>
          </w:p>
        </w:tc>
        <w:tc>
          <w:tcPr>
            <w:shd w:fill="EAF1FB" w:val="clear"/>
            <w:tcMar>
              <w:top w:type="dxa" w:w="90"/>
              <w:left w:type="dxa" w:w="120"/>
              <w:bottom w:type="dxa" w:w="90"/>
              <w:right w:type="dxa" w:w="120"/>
            </w:tcMar>
          </w:tcPr>
          <w:p>
            <w:r>
              <w:rPr>
                <w:color w:val="262626"/>
                <w:sz w:val="20"/>
                <w:szCs w:val="20"/>
              </w:rPr>
              <w:t xml:space="preserve">100% (403/403)</w:t>
            </w:r>
          </w:p>
        </w:tc>
        <w:tc>
          <w:tcPr>
            <w:shd w:fill="EAF1FB" w:val="clear"/>
            <w:tcMar>
              <w:top w:type="dxa" w:w="90"/>
              <w:left w:type="dxa" w:w="120"/>
              <w:bottom w:type="dxa" w:w="90"/>
              <w:right w:type="dxa" w:w="120"/>
            </w:tcMar>
          </w:tcPr>
          <w:p>
            <w:r>
              <w:rPr>
                <w:color w:val="262626"/>
                <w:sz w:val="20"/>
                <w:szCs w:val="20"/>
              </w:rPr>
              <w:t xml:space="preserve">flagged — see limitations</w:t>
            </w:r>
          </w:p>
        </w:tc>
      </w:tr>
      <w:tr>
        <w:tc>
          <w:tcPr>
            <w:shd w:fill="FFFFFF" w:val="clear"/>
            <w:tcMar>
              <w:top w:type="dxa" w:w="90"/>
              <w:left w:type="dxa" w:w="120"/>
              <w:bottom w:type="dxa" w:w="90"/>
              <w:right w:type="dxa" w:w="120"/>
            </w:tcMar>
          </w:tcPr>
          <w:p>
            <w:r>
              <w:rPr>
                <w:color w:val="262626"/>
                <w:sz w:val="20"/>
                <w:szCs w:val="20"/>
              </w:rPr>
              <w:t xml:space="preserve">CAC</w:t>
            </w:r>
          </w:p>
        </w:tc>
        <w:tc>
          <w:tcPr>
            <w:shd w:fill="FFFFFF" w:val="clear"/>
            <w:tcMar>
              <w:top w:type="dxa" w:w="90"/>
              <w:left w:type="dxa" w:w="120"/>
              <w:bottom w:type="dxa" w:w="90"/>
              <w:right w:type="dxa" w:w="120"/>
            </w:tcMar>
          </w:tcPr>
          <w:p>
            <w:r>
              <w:rPr>
                <w:color w:val="262626"/>
                <w:sz w:val="20"/>
                <w:szCs w:val="20"/>
              </w:rPr>
              <w:t xml:space="preserve">Not computable</w:t>
            </w:r>
          </w:p>
        </w:tc>
        <w:tc>
          <w:tcPr>
            <w:shd w:fill="FFFFFF" w:val="clear"/>
            <w:tcMar>
              <w:top w:type="dxa" w:w="90"/>
              <w:left w:type="dxa" w:w="120"/>
              <w:bottom w:type="dxa" w:w="90"/>
              <w:right w:type="dxa" w:w="120"/>
            </w:tcMar>
          </w:tcPr>
          <w:p>
            <w:r>
              <w:rPr>
                <w:color w:val="262626"/>
                <w:sz w:val="20"/>
                <w:szCs w:val="20"/>
              </w:rPr>
              <w:t xml:space="preserve">no spend data available</w:t>
            </w:r>
          </w:p>
        </w:tc>
      </w:tr>
    </w:tbl>
    <w:p>
      <w:pPr>
        <w:pStyle w:val="Heading1"/>
        <w:pBdr>
          <w:bottom w:val="single" w:color="2E74B5" w:sz="6" w:space="4"/>
        </w:pBdr>
        <w:spacing w:after="160" w:before="320"/>
      </w:pPr>
      <w:r>
        <w:rPr>
          <w:b/>
          <w:bCs/>
          <w:color w:val="1F3864"/>
          <w:sz w:val="30"/>
          <w:szCs w:val="30"/>
        </w:rPr>
        <w:t xml:space="preserve">Key Findings</w:t>
      </w:r>
    </w:p>
    <w:p>
      <w:pPr>
        <w:pStyle w:val="Heading2"/>
        <w:spacing w:after="120" w:before="260"/>
      </w:pPr>
      <w:r>
        <w:rPr>
          <w:b/>
          <w:bCs/>
          <w:color w:val="2E74B5"/>
          <w:sz w:val="24"/>
          <w:szCs w:val="24"/>
        </w:rPr>
        <w:t xml:space="preserve">1. Churn is not predictable from current behavioral data</w:t>
      </w:r>
    </w:p>
    <w:p>
      <w:pPr>
        <w:spacing w:after="160" w:line="300"/>
      </w:pPr>
      <w:r>
        <w:rPr>
          <w:color w:val="262626"/>
          <w:sz w:val="22"/>
          <w:szCs w:val="22"/>
        </w:rPr>
        <w:t xml:space="preserve">Two independent SQL-based analyses reached the same conclusion:</w:t>
      </w:r>
    </w:p>
    <w:p>
      <w:pPr>
        <w:pStyle w:val="ListParagraph"/>
        <w:numPr>
          <w:ilvl w:val="0"/>
          <w:numId w:val="2"/>
        </w:numPr>
        <w:spacing w:after="90" w:line="290"/>
      </w:pPr>
      <w:r>
        <w:rPr>
          <w:color w:val="262626"/>
          <w:sz w:val="22"/>
          <w:szCs w:val="22"/>
        </w:rPr>
        <w:t xml:space="preserve">Direct SQL comparison of churned vs. retained accounts showed nearly identical average usage, error rates, and support satisfaction between the two groups.</w:t>
      </w:r>
    </w:p>
    <w:p>
      <w:pPr>
        <w:pStyle w:val="ListParagraph"/>
        <w:numPr>
          <w:ilvl w:val="0"/>
          <w:numId w:val="2"/>
        </w:numPr>
        <w:spacing w:after="90" w:line="290"/>
      </w:pPr>
      <w:r>
        <w:rPr>
          <w:color w:val="262626"/>
          <w:sz w:val="22"/>
          <w:szCs w:val="22"/>
        </w:rPr>
        <w:t xml:space="preserve">A risk-tiering system built from the worst 10% of satisfaction scores and escalation counts (data-driven, not arbitrary) produced tiers with almost equal actual churn rates: Low Risk 21.3%, Medium Risk 22.1%, High Risk 22.6%.</w:t>
      </w:r>
    </w:p>
    <w:p>
      <w:pPr>
        <w:spacing w:after="160" w:line="300"/>
      </w:pPr>
      <w:r>
        <w:rPr>
          <w:color w:val="262626"/>
          <w:sz w:val="22"/>
          <w:szCs w:val="22"/>
        </w:rPr>
        <w:t xml:space="preserve">This is a data-availability finding, not a failure of analysis: the fields currently captured (usage volume, ticket satisfaction, escalations) do not carry the signal needed to flag at-risk accounts before they leave.</w:t>
      </w:r>
    </w:p>
    <w:p>
      <w:pPr>
        <w:pStyle w:val="Heading2"/>
        <w:spacing w:after="120" w:before="260"/>
      </w:pPr>
      <w:r>
        <w:rPr>
          <w:b/>
          <w:bCs/>
          <w:color w:val="2E74B5"/>
          <w:sz w:val="24"/>
          <w:szCs w:val="24"/>
        </w:rPr>
        <w:t xml:space="preserve">2. Churn rate varies meaningfully by industry and by referral channel</w:t>
      </w:r>
    </w:p>
    <w:p>
      <w:pPr>
        <w:spacing w:after="160" w:line="300"/>
      </w:pPr>
      <w:r>
        <w:rPr>
          <w:color w:val="262626"/>
          <w:sz w:val="22"/>
          <w:szCs w:val="22"/>
        </w:rPr>
        <w:t xml:space="preserve">Unlike account-level behavior, segment-level patterns are real and consistent:</w:t>
      </w:r>
    </w:p>
    <w:p>
      <w:pPr>
        <w:pStyle w:val="ListParagraph"/>
        <w:numPr>
          <w:ilvl w:val="0"/>
          <w:numId w:val="2"/>
        </w:numPr>
        <w:spacing w:after="90" w:line="290"/>
      </w:pPr>
      <w:r>
        <w:rPr>
          <w:color w:val="262626"/>
          <w:sz w:val="22"/>
          <w:szCs w:val="22"/>
        </w:rPr>
        <w:t xml:space="preserve">DevTools customers churn at 31% — roughly double the rate of Cybersecurity (16%) and EdTech (16.5%) customers, despite DevTools generating strong revenue ($2.4M MRR, 113 accounts).</w:t>
      </w:r>
    </w:p>
    <w:p>
      <w:pPr>
        <w:pStyle w:val="ListParagraph"/>
        <w:numPr>
          <w:ilvl w:val="0"/>
          <w:numId w:val="2"/>
        </w:numPr>
        <w:spacing w:after="90" w:line="290"/>
      </w:pPr>
      <w:r>
        <w:rPr>
          <w:color w:val="262626"/>
          <w:sz w:val="22"/>
          <w:szCs w:val="22"/>
        </w:rPr>
        <w:t xml:space="preserve">Accounts acquired through the “event” channel churn at 30.2%, the highest of any referral source; “partner”-sourced accounts churn at just 14.6%, the lowest — despite comparable account volumes.</w:t>
      </w:r>
    </w:p>
    <w:p>
      <w:pPr>
        <w:pStyle w:val="Heading2"/>
        <w:spacing w:after="120" w:before="260"/>
      </w:pPr>
      <w:r>
        <w:rPr>
          <w:b/>
          <w:bCs/>
          <w:color w:val="2E74B5"/>
          <w:sz w:val="24"/>
          <w:szCs w:val="24"/>
        </w:rPr>
        <w:t xml:space="preserve">3. A small number of churn reasons account for most of the lost revenue</w:t>
      </w:r>
    </w:p>
    <w:p>
      <w:pPr>
        <w:spacing w:after="160" w:line="300"/>
      </w:pPr>
      <w:r>
        <w:rPr>
          <w:color w:val="262626"/>
          <w:sz w:val="22"/>
          <w:szCs w:val="22"/>
        </w:rPr>
        <w:t xml:space="preserve">Reason codes recorded at the point of churn show a fairly even split in event count, but a clearer picture in dollar terms:</w:t>
      </w:r>
    </w:p>
    <w:p>
      <w:pPr>
        <w:pStyle w:val="ListParagraph"/>
        <w:numPr>
          <w:ilvl w:val="0"/>
          <w:numId w:val="2"/>
        </w:numPr>
        <w:spacing w:after="90" w:line="290"/>
      </w:pPr>
      <w:r>
        <w:rPr>
          <w:color w:val="262626"/>
          <w:sz w:val="22"/>
          <w:szCs w:val="22"/>
        </w:rPr>
        <w:t xml:space="preserve">“Features” is both the most common reason (114 events) and the costliest ($2.58M in lost MRR).</w:t>
      </w:r>
    </w:p>
    <w:p>
      <w:pPr>
        <w:pStyle w:val="ListParagraph"/>
        <w:numPr>
          <w:ilvl w:val="0"/>
          <w:numId w:val="2"/>
        </w:numPr>
        <w:spacing w:after="90" w:line="290"/>
      </w:pPr>
      <w:r>
        <w:rPr>
          <w:color w:val="262626"/>
          <w:sz w:val="22"/>
          <w:szCs w:val="22"/>
        </w:rPr>
        <w:t xml:space="preserve">“Support” and “Budget” follow closely, each accounting for roughly $2.3M in lost MRR.</w:t>
      </w:r>
    </w:p>
    <w:p>
      <w:pPr>
        <w:pStyle w:val="ListParagraph"/>
        <w:numPr>
          <w:ilvl w:val="0"/>
          <w:numId w:val="2"/>
        </w:numPr>
        <w:spacing w:after="90" w:line="290"/>
      </w:pPr>
      <w:r>
        <w:rPr>
          <w:color w:val="262626"/>
          <w:sz w:val="22"/>
          <w:szCs w:val="22"/>
        </w:rPr>
        <w:t xml:space="preserve">“Pricing” is the least costly reason ($1.94M) despite being a commonly assumed top driver of SaaS churn — worth noting for any pricing-strategy discussion.</w:t>
      </w:r>
    </w:p>
    <w:p>
      <w:pPr>
        <w:pStyle w:val="Heading2"/>
        <w:spacing w:after="120" w:before="260"/>
      </w:pPr>
      <w:r>
        <w:rPr>
          <w:b/>
          <w:bCs/>
          <w:color w:val="2E74B5"/>
          <w:sz w:val="24"/>
          <w:szCs w:val="24"/>
        </w:rPr>
        <w:t xml:space="preserve">4. Growth efficiency has been declining through late 2024</w:t>
      </w:r>
    </w:p>
    <w:p>
      <w:pPr>
        <w:spacing w:after="160" w:line="300"/>
      </w:pPr>
      <w:r>
        <w:rPr>
          <w:color w:val="262626"/>
          <w:sz w:val="22"/>
          <w:szCs w:val="22"/>
        </w:rPr>
        <w:t xml:space="preserve">The Quick Ratio (new + expansion MRR ÷ churned + contraction MRR) — a standard measure of growth health — trended down across 2024, falling below the healthy threshold of 1.0 in several of the final months (ending at approximately 0.38 in December 2024, meaning MRR lost that month outpaced MRR gained by roughly 2.6x). Gross Revenue Retention also dipped to approximately 94% in December 2024, its lowest point in the observed period, though it remained above 97% for most prior months.</w:t>
      </w:r>
    </w:p>
    <w:p>
      <w:pPr>
        <w:pStyle w:val="Heading2"/>
        <w:spacing w:after="120" w:before="260"/>
      </w:pPr>
      <w:r>
        <w:rPr>
          <w:b/>
          <w:bCs/>
          <w:color w:val="2E74B5"/>
          <w:sz w:val="24"/>
          <w:szCs w:val="24"/>
        </w:rPr>
        <w:t xml:space="preserve">5. Product engagement and support quality are broadly healthy, without major red flags</w:t>
      </w:r>
    </w:p>
    <w:p>
      <w:pPr>
        <w:pStyle w:val="ListParagraph"/>
        <w:numPr>
          <w:ilvl w:val="0"/>
          <w:numId w:val="2"/>
        </w:numPr>
        <w:spacing w:after="90" w:line="290"/>
      </w:pPr>
      <w:r>
        <w:rPr>
          <w:color w:val="262626"/>
          <w:sz w:val="22"/>
          <w:szCs w:val="22"/>
        </w:rPr>
        <w:t xml:space="preserve">Beta feature adoption sits at roughly 10% of all usage events, with a comparable error rate (≈ 6%), suggesting beta features are not disproportionately unstable.</w:t>
      </w:r>
    </w:p>
    <w:p>
      <w:pPr>
        <w:pStyle w:val="ListParagraph"/>
        <w:numPr>
          <w:ilvl w:val="0"/>
          <w:numId w:val="2"/>
        </w:numPr>
        <w:spacing w:after="90" w:line="290"/>
      </w:pPr>
      <w:r>
        <w:rPr>
          <w:color w:val="262626"/>
          <w:sz w:val="22"/>
          <w:szCs w:val="22"/>
        </w:rPr>
        <w:t xml:space="preserve">Average customer satisfaction is stable at 3.9–4.0 out of 5 across all ticket priority levels, including urgent tickets — support quality does not appear to degrade under pressure.</w:t>
      </w:r>
    </w:p>
    <w:p>
      <w:pPr>
        <w:pStyle w:val="ListParagraph"/>
        <w:numPr>
          <w:ilvl w:val="0"/>
          <w:numId w:val="2"/>
        </w:numPr>
        <w:spacing w:after="90" w:line="290"/>
      </w:pPr>
      <w:r>
        <w:rPr>
          <w:color w:val="262626"/>
          <w:sz w:val="22"/>
          <w:szCs w:val="22"/>
        </w:rPr>
        <w:t xml:space="preserve">Escalation rates remain low (single digits) across the observed period, with no sustained upward trend.</w:t>
      </w:r>
    </w:p>
    <w:p>
      <w:pPr>
        <w:pStyle w:val="Heading1"/>
        <w:pBdr>
          <w:bottom w:val="single" w:color="2E74B5" w:sz="6" w:space="4"/>
        </w:pBdr>
        <w:spacing w:after="160" w:before="320"/>
      </w:pPr>
      <w:r>
        <w:rPr>
          <w:b/>
          <w:bCs/>
          <w:color w:val="1F3864"/>
          <w:sz w:val="30"/>
          <w:szCs w:val="30"/>
        </w:rPr>
        <w:t xml:space="preserve">Recommendations</w:t>
      </w:r>
    </w:p>
    <w:p>
      <w:pPr>
        <w:pStyle w:val="Heading2"/>
        <w:spacing w:after="120" w:before="260"/>
      </w:pPr>
      <w:r>
        <w:rPr>
          <w:b/>
          <w:bCs/>
          <w:color w:val="2E74B5"/>
          <w:sz w:val="24"/>
          <w:szCs w:val="24"/>
        </w:rPr>
        <w:t xml:space="preserve">Immediate actions</w:t>
      </w:r>
    </w:p>
    <w:p>
      <w:pPr>
        <w:pStyle w:val="ListParagraph"/>
        <w:numPr>
          <w:ilvl w:val="0"/>
          <w:numId w:val="3"/>
        </w:numPr>
        <w:spacing w:after="140" w:line="290"/>
      </w:pPr>
      <w:r>
        <w:rPr>
          <w:color w:val="262626"/>
          <w:sz w:val="22"/>
          <w:szCs w:val="22"/>
        </w:rPr>
        <w:t xml:space="preserve">Prioritize retention investment by revenue impact, not event count: focus account-management and product-roadmap attention on the “Features” and “Support” churn reasons first, since they drive the largest MRR loss even though “Pricing” is often assumed to be the top concern.</w:t>
      </w:r>
    </w:p>
    <w:p>
      <w:pPr>
        <w:pStyle w:val="ListParagraph"/>
        <w:numPr>
          <w:ilvl w:val="0"/>
          <w:numId w:val="3"/>
        </w:numPr>
        <w:spacing w:after="140" w:line="290"/>
      </w:pPr>
      <w:r>
        <w:rPr>
          <w:color w:val="262626"/>
          <w:sz w:val="22"/>
          <w:szCs w:val="22"/>
        </w:rPr>
        <w:t xml:space="preserve">Investigate the DevTools segment specifically: a churn rate double that of comparable industries, on a meaningful revenue base, warrants a dedicated customer-success review — win-loss interviews with recently churned DevTools accounts would be a natural next step.</w:t>
      </w:r>
    </w:p>
    <w:p>
      <w:pPr>
        <w:pStyle w:val="ListParagraph"/>
        <w:numPr>
          <w:ilvl w:val="0"/>
          <w:numId w:val="3"/>
        </w:numPr>
        <w:spacing w:after="140" w:line="290"/>
      </w:pPr>
      <w:r>
        <w:rPr>
          <w:color w:val="262626"/>
          <w:sz w:val="22"/>
          <w:szCs w:val="22"/>
        </w:rPr>
        <w:t xml:space="preserve">Reassess acquisition channel mix: the “event” channel shows the weakest retention (30.2% churn) while “partner” shows the strongest (14.6%). Consider shifting incremental acquisition budget toward partner-sourced growth, or adding a stronger onboarding step for event-sourced accounts.</w:t>
      </w:r>
    </w:p>
    <w:p>
      <w:pPr>
        <w:pStyle w:val="ListParagraph"/>
        <w:numPr>
          <w:ilvl w:val="0"/>
          <w:numId w:val="3"/>
        </w:numPr>
        <w:spacing w:after="140" w:line="290"/>
      </w:pPr>
      <w:r>
        <w:rPr>
          <w:color w:val="262626"/>
          <w:sz w:val="22"/>
          <w:szCs w:val="22"/>
        </w:rPr>
        <w:t xml:space="preserve">Monitor Quick Ratio and GRR monthly going forward: the downward trend through Q4 2024 has not been explained by this analysis and should be investigated operationally (e.g., large-account concentration, a specific cohort's contract renewals, or a pricing change) before it continues into 2025.</w:t>
      </w:r>
    </w:p>
    <w:p>
      <w:pPr>
        <w:pStyle w:val="Heading2"/>
        <w:spacing w:after="120" w:before="260"/>
      </w:pPr>
      <w:r>
        <w:rPr>
          <w:b/>
          <w:bCs/>
          <w:color w:val="2E74B5"/>
          <w:sz w:val="24"/>
          <w:szCs w:val="24"/>
        </w:rPr>
        <w:t xml:space="preserve">Medium-term: close the data gaps that limit prediction</w:t>
      </w:r>
    </w:p>
    <w:p>
      <w:pPr>
        <w:pStyle w:val="ListParagraph"/>
        <w:numPr>
          <w:ilvl w:val="0"/>
          <w:numId w:val="3"/>
        </w:numPr>
        <w:spacing w:after="140" w:line="290"/>
      </w:pPr>
      <w:r>
        <w:rPr>
          <w:color w:val="262626"/>
          <w:sz w:val="22"/>
          <w:szCs w:val="22"/>
        </w:rPr>
        <w:t xml:space="preserve">Do not rely on the current risk-tier or satisfaction-based segmentation to prioritize retention outreach — it does not currently separate high-risk from low-risk accounts in practice. Retention prioritization should be based on the revenue and segment findings above until better signal is available.</w:t>
      </w:r>
    </w:p>
    <w:p>
      <w:pPr>
        <w:pStyle w:val="ListParagraph"/>
        <w:numPr>
          <w:ilvl w:val="0"/>
          <w:numId w:val="3"/>
        </w:numPr>
        <w:spacing w:after="140" w:line="290"/>
      </w:pPr>
      <w:r>
        <w:rPr>
          <w:color w:val="262626"/>
          <w:sz w:val="22"/>
          <w:szCs w:val="22"/>
        </w:rPr>
        <w:t xml:space="preserve">To enable real churn prediction in the future, prioritize capturing: (a) historical price-change events per account (needed for accurate expansion/contraction revenue tracking), (b) marketing and sales spend by acquisition channel and period (needed to calculate CAC and CAC:LTV), and (c) product-roadmap / competitive-loss context behind “features” and “competitor” churn reasons.</w:t>
      </w:r>
    </w:p>
    <w:p>
      <w:pPr>
        <w:pStyle w:val="ListParagraph"/>
        <w:numPr>
          <w:ilvl w:val="0"/>
          <w:numId w:val="3"/>
        </w:numPr>
        <w:spacing w:after="140" w:line="290"/>
      </w:pPr>
      <w:r>
        <w:rPr>
          <w:color w:val="262626"/>
          <w:sz w:val="22"/>
          <w:szCs w:val="22"/>
        </w:rPr>
        <w:t xml:space="preserve">Re-evaluate the trial-to-paid conversion metric: it currently shows exactly 100%, which is very unlikely to reflect a real-world funnel and should be validated against the underlying trial-tracking process before being reported externally.</w:t>
      </w:r>
    </w:p>
    <w:p>
      <w:pPr>
        <w:pStyle w:val="Heading1"/>
        <w:pBdr>
          <w:bottom w:val="single" w:color="2E74B5" w:sz="6" w:space="4"/>
        </w:pBdr>
        <w:spacing w:after="160" w:before="320"/>
      </w:pPr>
      <w:r>
        <w:rPr>
          <w:b/>
          <w:bCs/>
          <w:color w:val="1F3864"/>
          <w:sz w:val="30"/>
          <w:szCs w:val="30"/>
        </w:rPr>
        <w:t xml:space="preserve">Data Limitations &amp; Methodology Notes</w:t>
      </w:r>
    </w:p>
    <w:p>
      <w:pPr>
        <w:spacing w:after="160" w:line="300"/>
      </w:pPr>
      <w:r>
        <w:rPr>
          <w:color w:val="262626"/>
          <w:sz w:val="22"/>
          <w:szCs w:val="22"/>
        </w:rPr>
        <w:t xml:space="preserve">This section is included so that any reader of this report — now or in the future — understands the boundaries of what the data can support.</w:t>
      </w:r>
    </w:p>
    <w:p>
      <w:pPr>
        <w:pStyle w:val="ListParagraph"/>
        <w:numPr>
          <w:ilvl w:val="0"/>
          <w:numId w:val="2"/>
        </w:numPr>
        <w:spacing w:after="90" w:line="290"/>
      </w:pPr>
      <w:r>
        <w:rPr>
          <w:color w:val="262626"/>
          <w:sz w:val="22"/>
          <w:szCs w:val="22"/>
        </w:rPr>
        <w:t xml:space="preserve">This analysis is based on a synthetic, generated dataset used for analytics development. The finding that account behavior does not predict churn is a property of this dataset and should be re-validated once live production data is available.</w:t>
      </w:r>
    </w:p>
    <w:p>
      <w:pPr>
        <w:pStyle w:val="ListParagraph"/>
        <w:numPr>
          <w:ilvl w:val="0"/>
          <w:numId w:val="2"/>
        </w:numPr>
        <w:spacing w:after="90" w:line="290"/>
      </w:pPr>
      <w:r>
        <w:rPr>
          <w:color w:val="262626"/>
          <w:sz w:val="22"/>
          <w:szCs w:val="22"/>
        </w:rPr>
        <w:t xml:space="preserve">Expansion and Contraction MRR figures are approximated using the full MRR value of any upgraded/downgraded subscription, because no historical price-point log exists to isolate the exact dollar change.</w:t>
      </w:r>
    </w:p>
    <w:p>
      <w:pPr>
        <w:pStyle w:val="ListParagraph"/>
        <w:numPr>
          <w:ilvl w:val="0"/>
          <w:numId w:val="2"/>
        </w:numPr>
        <w:spacing w:after="90" w:line="290"/>
      </w:pPr>
      <w:r>
        <w:rPr>
          <w:color w:val="262626"/>
          <w:sz w:val="22"/>
          <w:szCs w:val="22"/>
        </w:rPr>
        <w:t xml:space="preserve">Customer Acquisition Cost (CAC) could not be calculated — no marketing or sales spend data exists in the current schema.</w:t>
      </w:r>
    </w:p>
    <w:p>
      <w:pPr>
        <w:pStyle w:val="ListParagraph"/>
        <w:numPr>
          <w:ilvl w:val="0"/>
          <w:numId w:val="2"/>
        </w:numPr>
        <w:spacing w:after="90" w:line="290"/>
      </w:pPr>
      <w:r>
        <w:rPr>
          <w:color w:val="262626"/>
          <w:sz w:val="22"/>
          <w:szCs w:val="22"/>
        </w:rPr>
        <w:t xml:space="preserve">The theoretical LTV formula (ARPA ÷ monthly churn rate) produced an unrealistically high figure due to the reciprocal sensitivity of that formula to a low churn rate; the empirical LTV ($10,242, based on realized revenue from actually-churned accounts) is the more reliable figure and is the one used throughout this report.</w:t>
      </w:r>
    </w:p>
    <w:p>
      <w:pPr>
        <w:pStyle w:val="Heading1"/>
        <w:pBdr>
          <w:bottom w:val="single" w:color="2E74B5" w:sz="6" w:space="4"/>
        </w:pBdr>
        <w:spacing w:after="160" w:before="320"/>
      </w:pPr>
      <w:r>
        <w:rPr>
          <w:b/>
          <w:bCs/>
          <w:color w:val="1F3864"/>
          <w:sz w:val="30"/>
          <w:szCs w:val="30"/>
        </w:rPr>
        <w:t xml:space="preserve">Appendix: KPI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shd w:fill="1F3864" w:val="clear"/>
            <w:tcMar>
              <w:top w:type="dxa" w:w="100"/>
              <w:left w:type="dxa" w:w="120"/>
              <w:bottom w:type="dxa" w:w="100"/>
              <w:right w:type="dxa" w:w="120"/>
            </w:tcMar>
          </w:tcPr>
          <w:p>
            <w:r>
              <w:rPr>
                <w:b/>
                <w:bCs/>
                <w:color w:val="FFFFFF"/>
                <w:sz w:val="20"/>
                <w:szCs w:val="20"/>
              </w:rPr>
              <w:t xml:space="preserve">Term</w:t>
            </w:r>
          </w:p>
        </w:tc>
        <w:tc>
          <w:tcPr>
            <w:shd w:fill="1F3864" w:val="clear"/>
            <w:tcMar>
              <w:top w:type="dxa" w:w="100"/>
              <w:left w:type="dxa" w:w="120"/>
              <w:bottom w:type="dxa" w:w="100"/>
              <w:right w:type="dxa" w:w="120"/>
            </w:tcMar>
          </w:tcPr>
          <w:p>
            <w:r>
              <w:rPr>
                <w:b/>
                <w:bCs/>
                <w:color w:val="FFFFFF"/>
                <w:sz w:val="20"/>
                <w:szCs w:val="20"/>
              </w:rPr>
              <w:t xml:space="preserve">Definition</w:t>
            </w:r>
          </w:p>
        </w:tc>
      </w:tr>
      <w:tr>
        <w:tc>
          <w:tcPr>
            <w:shd w:fill="FFFFFF" w:val="clear"/>
            <w:tcMar>
              <w:top w:type="dxa" w:w="90"/>
              <w:left w:type="dxa" w:w="120"/>
              <w:bottom w:type="dxa" w:w="90"/>
              <w:right w:type="dxa" w:w="120"/>
            </w:tcMar>
          </w:tcPr>
          <w:p>
            <w:r>
              <w:rPr>
                <w:b/>
                <w:bCs/>
                <w:color w:val="262626"/>
                <w:sz w:val="20"/>
                <w:szCs w:val="20"/>
              </w:rPr>
              <w:t xml:space="preserve">MRR</w:t>
            </w:r>
          </w:p>
        </w:tc>
        <w:tc>
          <w:tcPr>
            <w:shd w:fill="FFFFFF" w:val="clear"/>
            <w:tcMar>
              <w:top w:type="dxa" w:w="90"/>
              <w:left w:type="dxa" w:w="120"/>
              <w:bottom w:type="dxa" w:w="90"/>
              <w:right w:type="dxa" w:w="120"/>
            </w:tcMar>
          </w:tcPr>
          <w:p>
            <w:r>
              <w:rPr>
                <w:b w:val="false"/>
                <w:bCs w:val="false"/>
                <w:color w:val="262626"/>
                <w:sz w:val="20"/>
                <w:szCs w:val="20"/>
              </w:rPr>
              <w:t xml:space="preserve">Monthly Recurring Revenue — predictable subscription revenue billed monthly.</w:t>
            </w:r>
          </w:p>
        </w:tc>
      </w:tr>
      <w:tr>
        <w:tc>
          <w:tcPr>
            <w:shd w:fill="EAF1FB" w:val="clear"/>
            <w:tcMar>
              <w:top w:type="dxa" w:w="90"/>
              <w:left w:type="dxa" w:w="120"/>
              <w:bottom w:type="dxa" w:w="90"/>
              <w:right w:type="dxa" w:w="120"/>
            </w:tcMar>
          </w:tcPr>
          <w:p>
            <w:r>
              <w:rPr>
                <w:b/>
                <w:bCs/>
                <w:color w:val="262626"/>
                <w:sz w:val="20"/>
                <w:szCs w:val="20"/>
              </w:rPr>
              <w:t xml:space="preserve">ARR</w:t>
            </w:r>
          </w:p>
        </w:tc>
        <w:tc>
          <w:tcPr>
            <w:shd w:fill="EAF1FB" w:val="clear"/>
            <w:tcMar>
              <w:top w:type="dxa" w:w="90"/>
              <w:left w:type="dxa" w:w="120"/>
              <w:bottom w:type="dxa" w:w="90"/>
              <w:right w:type="dxa" w:w="120"/>
            </w:tcMar>
          </w:tcPr>
          <w:p>
            <w:r>
              <w:rPr>
                <w:b w:val="false"/>
                <w:bCs w:val="false"/>
                <w:color w:val="262626"/>
                <w:sz w:val="20"/>
                <w:szCs w:val="20"/>
              </w:rPr>
              <w:t xml:space="preserve">Annual Recurring Revenue — MRR × 12.</w:t>
            </w:r>
          </w:p>
        </w:tc>
      </w:tr>
      <w:tr>
        <w:tc>
          <w:tcPr>
            <w:shd w:fill="FFFFFF" w:val="clear"/>
            <w:tcMar>
              <w:top w:type="dxa" w:w="90"/>
              <w:left w:type="dxa" w:w="120"/>
              <w:bottom w:type="dxa" w:w="90"/>
              <w:right w:type="dxa" w:w="120"/>
            </w:tcMar>
          </w:tcPr>
          <w:p>
            <w:r>
              <w:rPr>
                <w:b/>
                <w:bCs/>
                <w:color w:val="262626"/>
                <w:sz w:val="20"/>
                <w:szCs w:val="20"/>
              </w:rPr>
              <w:t xml:space="preserve">ARPA</w:t>
            </w:r>
          </w:p>
        </w:tc>
        <w:tc>
          <w:tcPr>
            <w:shd w:fill="FFFFFF" w:val="clear"/>
            <w:tcMar>
              <w:top w:type="dxa" w:w="90"/>
              <w:left w:type="dxa" w:w="120"/>
              <w:bottom w:type="dxa" w:w="90"/>
              <w:right w:type="dxa" w:w="120"/>
            </w:tcMar>
          </w:tcPr>
          <w:p>
            <w:r>
              <w:rPr>
                <w:b w:val="false"/>
                <w:bCs w:val="false"/>
                <w:color w:val="262626"/>
                <w:sz w:val="20"/>
                <w:szCs w:val="20"/>
              </w:rPr>
              <w:t xml:space="preserve">Average Revenue Per Account — Total MRR ÷ active accounts.</w:t>
            </w:r>
          </w:p>
        </w:tc>
      </w:tr>
      <w:tr>
        <w:tc>
          <w:tcPr>
            <w:shd w:fill="EAF1FB" w:val="clear"/>
            <w:tcMar>
              <w:top w:type="dxa" w:w="90"/>
              <w:left w:type="dxa" w:w="120"/>
              <w:bottom w:type="dxa" w:w="90"/>
              <w:right w:type="dxa" w:w="120"/>
            </w:tcMar>
          </w:tcPr>
          <w:p>
            <w:r>
              <w:rPr>
                <w:b/>
                <w:bCs/>
                <w:color w:val="262626"/>
                <w:sz w:val="20"/>
                <w:szCs w:val="20"/>
              </w:rPr>
              <w:t xml:space="preserve">Churn Rate</w:t>
            </w:r>
          </w:p>
        </w:tc>
        <w:tc>
          <w:tcPr>
            <w:shd w:fill="EAF1FB" w:val="clear"/>
            <w:tcMar>
              <w:top w:type="dxa" w:w="90"/>
              <w:left w:type="dxa" w:w="120"/>
              <w:bottom w:type="dxa" w:w="90"/>
              <w:right w:type="dxa" w:w="120"/>
            </w:tcMar>
          </w:tcPr>
          <w:p>
            <w:r>
              <w:rPr>
                <w:b w:val="false"/>
                <w:bCs w:val="false"/>
                <w:color w:val="262626"/>
                <w:sz w:val="20"/>
                <w:szCs w:val="20"/>
              </w:rPr>
              <w:t xml:space="preserve">Percentage of accounts that have cancelled, out of total accounts.</w:t>
            </w:r>
          </w:p>
        </w:tc>
      </w:tr>
      <w:tr>
        <w:tc>
          <w:tcPr>
            <w:shd w:fill="FFFFFF" w:val="clear"/>
            <w:tcMar>
              <w:top w:type="dxa" w:w="90"/>
              <w:left w:type="dxa" w:w="120"/>
              <w:bottom w:type="dxa" w:w="90"/>
              <w:right w:type="dxa" w:w="120"/>
            </w:tcMar>
          </w:tcPr>
          <w:p>
            <w:r>
              <w:rPr>
                <w:b/>
                <w:bCs/>
                <w:color w:val="262626"/>
                <w:sz w:val="20"/>
                <w:szCs w:val="20"/>
              </w:rPr>
              <w:t xml:space="preserve">GRR</w:t>
            </w:r>
          </w:p>
        </w:tc>
        <w:tc>
          <w:tcPr>
            <w:shd w:fill="FFFFFF" w:val="clear"/>
            <w:tcMar>
              <w:top w:type="dxa" w:w="90"/>
              <w:left w:type="dxa" w:w="120"/>
              <w:bottom w:type="dxa" w:w="90"/>
              <w:right w:type="dxa" w:w="120"/>
            </w:tcMar>
          </w:tcPr>
          <w:p>
            <w:r>
              <w:rPr>
                <w:b w:val="false"/>
                <w:bCs w:val="false"/>
                <w:color w:val="262626"/>
                <w:sz w:val="20"/>
                <w:szCs w:val="20"/>
              </w:rPr>
              <w:t xml:space="preserve">Gross Revenue Retention — percentage of starting MRR kept after churn (excludes expansion).</w:t>
            </w:r>
          </w:p>
        </w:tc>
      </w:tr>
      <w:tr>
        <w:tc>
          <w:tcPr>
            <w:shd w:fill="EAF1FB" w:val="clear"/>
            <w:tcMar>
              <w:top w:type="dxa" w:w="90"/>
              <w:left w:type="dxa" w:w="120"/>
              <w:bottom w:type="dxa" w:w="90"/>
              <w:right w:type="dxa" w:w="120"/>
            </w:tcMar>
          </w:tcPr>
          <w:p>
            <w:r>
              <w:rPr>
                <w:b/>
                <w:bCs/>
                <w:color w:val="262626"/>
                <w:sz w:val="20"/>
                <w:szCs w:val="20"/>
              </w:rPr>
              <w:t xml:space="preserve">Quick Ratio</w:t>
            </w:r>
          </w:p>
        </w:tc>
        <w:tc>
          <w:tcPr>
            <w:shd w:fill="EAF1FB" w:val="clear"/>
            <w:tcMar>
              <w:top w:type="dxa" w:w="90"/>
              <w:left w:type="dxa" w:w="120"/>
              <w:bottom w:type="dxa" w:w="90"/>
              <w:right w:type="dxa" w:w="120"/>
            </w:tcMar>
          </w:tcPr>
          <w:p>
            <w:r>
              <w:rPr>
                <w:b w:val="false"/>
                <w:bCs w:val="false"/>
                <w:color w:val="262626"/>
                <w:sz w:val="20"/>
                <w:szCs w:val="20"/>
              </w:rPr>
              <w:t xml:space="preserve">(New + Expansion MRR) ÷ (Churned + Contraction MRR); above 1.0 indicates healthy net growth.</w:t>
            </w:r>
          </w:p>
        </w:tc>
      </w:tr>
      <w:tr>
        <w:tc>
          <w:tcPr>
            <w:shd w:fill="FFFFFF" w:val="clear"/>
            <w:tcMar>
              <w:top w:type="dxa" w:w="90"/>
              <w:left w:type="dxa" w:w="120"/>
              <w:bottom w:type="dxa" w:w="90"/>
              <w:right w:type="dxa" w:w="120"/>
            </w:tcMar>
          </w:tcPr>
          <w:p>
            <w:r>
              <w:rPr>
                <w:b/>
                <w:bCs/>
                <w:color w:val="262626"/>
                <w:sz w:val="20"/>
                <w:szCs w:val="20"/>
              </w:rPr>
              <w:t xml:space="preserve">LTV</w:t>
            </w:r>
          </w:p>
        </w:tc>
        <w:tc>
          <w:tcPr>
            <w:shd w:fill="FFFFFF" w:val="clear"/>
            <w:tcMar>
              <w:top w:type="dxa" w:w="90"/>
              <w:left w:type="dxa" w:w="120"/>
              <w:bottom w:type="dxa" w:w="90"/>
              <w:right w:type="dxa" w:w="120"/>
            </w:tcMar>
          </w:tcPr>
          <w:p>
            <w:r>
              <w:rPr>
                <w:b w:val="false"/>
                <w:bCs w:val="false"/>
                <w:color w:val="262626"/>
                <w:sz w:val="20"/>
                <w:szCs w:val="20"/>
              </w:rPr>
              <w:t xml:space="preserve">Customer Lifetime Value — total revenue expected or realized from a customer over their relationship with RavenStack.</w:t>
            </w:r>
          </w:p>
        </w:tc>
      </w:tr>
      <w:tr>
        <w:tc>
          <w:tcPr>
            <w:shd w:fill="EAF1FB" w:val="clear"/>
            <w:tcMar>
              <w:top w:type="dxa" w:w="90"/>
              <w:left w:type="dxa" w:w="120"/>
              <w:bottom w:type="dxa" w:w="90"/>
              <w:right w:type="dxa" w:w="120"/>
            </w:tcMar>
          </w:tcPr>
          <w:p>
            <w:r>
              <w:rPr>
                <w:b/>
                <w:bCs/>
                <w:color w:val="262626"/>
                <w:sz w:val="20"/>
                <w:szCs w:val="20"/>
              </w:rPr>
              <w:t xml:space="preserve">CAC</w:t>
            </w:r>
          </w:p>
        </w:tc>
        <w:tc>
          <w:tcPr>
            <w:shd w:fill="EAF1FB" w:val="clear"/>
            <w:tcMar>
              <w:top w:type="dxa" w:w="90"/>
              <w:left w:type="dxa" w:w="120"/>
              <w:bottom w:type="dxa" w:w="90"/>
              <w:right w:type="dxa" w:w="120"/>
            </w:tcMar>
          </w:tcPr>
          <w:p>
            <w:r>
              <w:rPr>
                <w:b w:val="false"/>
                <w:bCs w:val="false"/>
                <w:color w:val="262626"/>
                <w:sz w:val="20"/>
                <w:szCs w:val="20"/>
              </w:rPr>
              <w:t xml:space="preserve">Customer Acquisition Cost — sales &amp; marketing spend ÷ number of new customers acquired in the same period.</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2026-08-04T09:58:06.635Z</dcterms:created>
  <dcterms:modified xsi:type="dcterms:W3CDTF">2026-08-04T09:58:06.653Z</dcterms:modified>
</cp:coreProperties>
</file>

<file path=docProps/custom.xml><?xml version="1.0" encoding="utf-8"?>
<Properties xmlns="http://schemas.openxmlformats.org/officeDocument/2006/custom-properties" xmlns:vt="http://schemas.openxmlformats.org/officeDocument/2006/docPropsVTypes"/>
</file>