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b/>
          <w:i w:val="0"/>
          <w:sz w:val="52"/>
          <w:u w:val="single"/>
        </w:rPr>
        <w:t>RESET LOCAL PASSWORD AND DISABLE DUO</w:t>
      </w:r>
    </w:p>
    <w:p/>
    <w:p/>
    <w:p/>
    <w:p>
      <w:pPr>
        <w:jc w:val="center"/>
      </w:pPr>
      <w:r>
        <w:t>Document No: SOP-IT-LIC-FC12</w:t>
      </w:r>
    </w:p>
    <w:p>
      <w:pPr>
        <w:jc w:val="center"/>
      </w:pPr>
      <w:r>
        <w:t>Revision 1.0  —  Released 10/24/2026</w:t>
      </w:r>
    </w:p>
    <w:p>
      <w:pPr>
        <w:jc w:val="center"/>
      </w:pPr>
      <w:r>
        <w:t>Author: SOPForge</w:t>
      </w:r>
    </w:p>
    <w:p>
      <w:r>
        <w:br w:type="page"/>
      </w:r>
    </w:p>
    <w:p>
      <w:pPr>
        <w:keepNext/>
        <w:spacing w:before="240" w:after="120"/>
      </w:pPr>
      <w:r>
        <w:rPr>
          <w:b/>
          <w:sz w:val="26"/>
        </w:rPr>
        <w:t>TABLE OF CONTENTS</w:t>
      </w:r>
    </w:p>
    <w:p>
      <w:r>
        <w:fldChar w:fldCharType="begin"/>
        <w:instrText xml:space="preserve"> TOC \o "1-2" \h \z \u </w:instrText>
      </w:r>
      <w:r>
        <w:fldChar w:fldCharType="separate"/>
      </w:r>
    </w:p>
    <w:p>
      <w:r>
        <w:t>1.  Procedure</w:t>
      </w:r>
    </w:p>
    <w:p>
      <w:r>
        <w:t xml:space="preserve">      Step 1</w:t>
      </w:r>
    </w:p>
    <w:p>
      <w:r>
        <w:t xml:space="preserve">      Step 2</w:t>
      </w:r>
    </w:p>
    <w:p>
      <w:r>
        <w:t xml:space="preserve">      Step 3</w:t>
      </w:r>
    </w:p>
    <w:p>
      <w:r>
        <w:t xml:space="preserve">      Step 4</w:t>
      </w:r>
    </w:p>
    <w:p>
      <w:r>
        <w:t>2.  Revision History</w:t>
      </w:r>
    </w:p>
    <w:p>
      <w:r>
        <w:fldChar w:fldCharType="end"/>
      </w:r>
    </w:p>
    <w:p>
      <w:r>
        <w:br w:type="page"/>
      </w:r>
    </w:p>
    <w:p>
      <w:pPr>
        <w:keepNext/>
        <w:spacing w:before="240" w:after="120"/>
        <w:outlineLvl w:val="0"/>
      </w:pPr>
      <w:r>
        <w:rPr>
          <w:b/>
          <w:sz w:val="26"/>
        </w:rPr>
        <w:t>Procedure</w:t>
      </w:r>
    </w:p>
    <w:p>
      <w:pPr>
        <w:keepNext/>
        <w:spacing w:before="160" w:after="60"/>
        <w:outlineLvl w:val="1"/>
      </w:pPr>
      <w:r>
        <w:rPr>
          <w:b/>
          <w:i/>
          <w:sz w:val="22"/>
        </w:rPr>
        <w:t>Step 1</w:t>
      </w:r>
    </w:p>
    <w:p>
      <w:pPr>
        <w:keepNext/>
        <w:ind w:left="360"/>
      </w:pPr>
      <w:r>
        <w:t xml:space="preserve">•  </w:t>
      </w:r>
      <w:r>
        <w:t>Step 1 narration.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Step 1</w:t>
      </w:r>
    </w:p>
    <w:p/>
    <w:p>
      <w:pPr>
        <w:keepNext/>
        <w:spacing w:before="160" w:after="60"/>
        <w:outlineLvl w:val="1"/>
      </w:pPr>
      <w:r>
        <w:rPr>
          <w:b/>
          <w:i/>
          <w:sz w:val="22"/>
        </w:rPr>
        <w:t>Step 2</w:t>
      </w:r>
    </w:p>
    <w:p>
      <w:pPr>
        <w:keepNext/>
        <w:ind w:left="360"/>
      </w:pPr>
      <w:r>
        <w:t xml:space="preserve">•  </w:t>
      </w:r>
      <w:r>
        <w:t>Step 2 narration.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Step 2</w:t>
      </w:r>
    </w:p>
    <w:p/>
    <w:p>
      <w:pPr>
        <w:keepNext/>
        <w:spacing w:before="160" w:after="60"/>
        <w:outlineLvl w:val="1"/>
      </w:pPr>
      <w:r>
        <w:rPr>
          <w:b/>
          <w:i/>
          <w:sz w:val="22"/>
        </w:rPr>
        <w:t>Step 3</w:t>
      </w:r>
    </w:p>
    <w:p>
      <w:pPr>
        <w:keepNext/>
        <w:ind w:left="360"/>
      </w:pPr>
      <w:r>
        <w:t xml:space="preserve">•  </w:t>
      </w:r>
      <w:r>
        <w:t>Step 3 narration.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Step 3</w:t>
      </w:r>
    </w:p>
    <w:p/>
    <w:p>
      <w:pPr>
        <w:keepNext/>
        <w:spacing w:before="160" w:after="60"/>
        <w:outlineLvl w:val="1"/>
      </w:pPr>
      <w:r>
        <w:rPr>
          <w:b/>
          <w:i/>
          <w:sz w:val="22"/>
        </w:rPr>
        <w:t>Step 4</w:t>
      </w:r>
    </w:p>
    <w:p>
      <w:pPr>
        <w:keepNext/>
        <w:ind w:left="360"/>
      </w:pPr>
      <w:r>
        <w:t xml:space="preserve">•  </w:t>
      </w:r>
      <w:r>
        <w:t>Step 4 narration.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</w:rPr>
        <w:t>Step 4</w:t>
      </w:r>
    </w:p>
    <w:p/>
    <w:p>
      <w:pPr>
        <w:keepNext/>
        <w:spacing w:before="240" w:after="120"/>
        <w:outlineLvl w:val="0"/>
      </w:pPr>
      <w:r>
        <w:rPr>
          <w:b/>
          <w:sz w:val="26"/>
        </w:rP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Authors</w:t>
            </w:r>
          </w:p>
        </w:tc>
      </w:tr>
      <w:tr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10/24/2026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1.0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Initial generation</w:t>
            </w:r>
          </w:p>
        </w:tc>
        <w:tc>
          <w:tcPr>
            <w:tcW w:type="dxa" w:w="2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SOPForge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Variation Reduction Solutions, Inc. ♦ 14901 Galleon Ct, Plymouth, MI 48170 ♦ (734) 414-0035 TEL ♦ (734) 414-0029 FAX</w:t>
    </w:r>
  </w:p>
  <w:p>
    <w:pPr>
      <w:jc w:val="center"/>
    </w:pPr>
    <w:r>
      <w:rPr>
        <w:rFonts w:ascii="Arial" w:cs="Arial" w:eastAsia="Arial" w:hAnsi="Arial"/>
        <w:b/>
        <w:bCs/>
        <w:color w:val="666666"/>
        <w:sz w:val="14"/>
        <w:szCs w:val="14"/>
      </w:rPr>
      <w:t xml:space="preserve">CONFIDENTIAL - DO NOT COPY        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1F5C99" w:sz="4"/>
        <w:right w:val="none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REVISION 1.0 - RELEASED 10/24/2026</w:t>
          </w:r>
        </w:p>
      </w:tc>
      <w:tc>
        <w:tcPr>
          <w:tcW w:type="dxa" w:w="288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drawing>
              <wp:inline distT="0" distB="0" distL="0" distR="0">
                <wp:extent cx="76200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i/>
      <w:iCs/>
      <w:color w:val="222222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41697e5853d4892bd59fee9c9a9cfb32e63f874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2026-03-23T20:38:33.177Z</dcterms:created>
  <dcterms:modified xsi:type="dcterms:W3CDTF">2026-03-23T20:38:33.178Z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