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83347"/>
          <w:sz w:val="52"/>
        </w:rPr>
        <w:t>Sponsor Sierra (Sponsor Sierra)</w:t>
      </w:r>
    </w:p>
    <w:p>
      <w:pPr>
        <w:jc w:val="center"/>
      </w:pPr>
      <w:r>
        <w:rPr>
          <w:rFonts w:ascii="Calibri" w:hAnsi="Calibri"/>
          <w:color w:val="183347"/>
          <w:sz w:val="36"/>
        </w:rPr>
        <w:t>ESG Engagement Notes</w:t>
      </w:r>
    </w:p>
    <w:p/>
    <w:p>
      <w:pPr>
        <w:jc w:val="center"/>
      </w:pPr>
      <w:r>
        <w:rPr>
          <w:rFonts w:ascii="Calibri" w:hAnsi="Calibri"/>
          <w:b/>
          <w:color w:val="183347"/>
          <w:sz w:val="20"/>
        </w:rPr>
        <w:t xml:space="preserve">Last Updated: </w:t>
      </w:r>
      <w:r>
        <w:rPr>
          <w:rFonts w:ascii="Calibri" w:hAnsi="Calibri"/>
          <w:sz w:val="20"/>
        </w:rPr>
        <w:t>21 May 2026</w:t>
      </w:r>
    </w:p>
    <w:p>
      <w:pPr>
        <w:jc w:val="center"/>
      </w:pPr>
      <w:r>
        <w:rPr>
          <w:rFonts w:ascii="Calibri" w:hAnsi="Calibri"/>
          <w:b/>
          <w:color w:val="183347"/>
          <w:sz w:val="20"/>
        </w:rPr>
        <w:t xml:space="preserve">Funds: </w:t>
      </w:r>
      <w:r>
        <w:rPr>
          <w:rFonts w:ascii="Calibri" w:hAnsi="Calibri"/>
          <w:sz w:val="20"/>
        </w:rPr>
        <w:t>Fund VI (exited 2025), Fund VII</w:t>
      </w:r>
    </w:p>
    <w:p>
      <w:pPr>
        <w:jc w:val="center"/>
      </w:pPr>
      <w:r>
        <w:rPr>
          <w:rFonts w:ascii="Calibri" w:hAnsi="Calibri"/>
          <w:b/>
          <w:color w:val="183347"/>
          <w:sz w:val="20"/>
        </w:rPr>
        <w:t xml:space="preserve">Asset Class: </w:t>
      </w:r>
      <w:r>
        <w:rPr>
          <w:rFonts w:ascii="Calibri" w:hAnsi="Calibri"/>
          <w:sz w:val="20"/>
        </w:rPr>
        <w:t>Residential / Build-to-Rent (BTR), Spain</w:t>
      </w:r>
    </w:p>
    <w:p>
      <w:pPr>
        <w:jc w:val="center"/>
      </w:pPr>
      <w:r>
        <w:rPr>
          <w:rFonts w:ascii="Calibri" w:hAnsi="Calibri"/>
          <w:b/>
          <w:color w:val="183347"/>
          <w:sz w:val="20"/>
        </w:rPr>
        <w:t xml:space="preserve">Investment Vehicle: </w:t>
      </w:r>
      <w:r>
        <w:rPr>
          <w:rFonts w:ascii="Calibri" w:hAnsi="Calibri"/>
          <w:sz w:val="20"/>
        </w:rPr>
        <w:t>Sponsor Sierra (formerly Sponsor Sierra)</w:t>
      </w:r>
    </w:p>
    <w:p>
      <w:pPr>
        <w:jc w:val="center"/>
      </w:pPr>
      <w:r>
        <w:rPr>
          <w:rFonts w:ascii="Calibri" w:hAnsi="Calibri"/>
          <w:b/>
          <w:color w:val="183347"/>
          <w:sz w:val="20"/>
        </w:rPr>
        <w:t xml:space="preserve">ESG Contact: </w:t>
      </w:r>
      <w:r>
        <w:rPr>
          <w:rFonts w:ascii="Calibri" w:hAnsi="Calibri"/>
          <w:sz w:val="20"/>
        </w:rPr>
        <w:t>the ESG Contact, Portfolio Manager (esg-contact@sponsor-sierra.example)</w:t>
      </w:r>
    </w:p>
    <w:p>
      <w:pPr>
        <w:jc w:val="center"/>
      </w:pPr>
      <w:r>
        <w:rPr>
          <w:rFonts w:ascii="Calibri" w:hAnsi="Calibri"/>
          <w:b/>
          <w:color w:val="183347"/>
          <w:sz w:val="20"/>
        </w:rPr>
        <w:t xml:space="preserve">ESG Sustainability Lead: </w:t>
      </w:r>
      <w:r>
        <w:rPr>
          <w:rFonts w:ascii="Calibri" w:hAnsi="Calibri"/>
          <w:sz w:val="20"/>
        </w:rPr>
        <w:t>the ESG Lead, Head of Compliance, Risk Management and Sustainability (esg-lead@sponsor-sierra.example)</w:t>
      </w:r>
    </w:p>
    <w:p>
      <w:r>
        <w:br w:type="page"/>
      </w:r>
    </w:p>
    <w:p>
      <w:pPr>
        <w:pStyle w:val="Heading1"/>
      </w:pPr>
      <w:r>
        <w:t>1. SPONSOR OVERVIEW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Asset Class: </w:t>
      </w:r>
      <w:r>
        <w:rPr>
          <w:rFonts w:ascii="Calibri" w:hAnsi="Calibri"/>
          <w:sz w:val="20"/>
        </w:rPr>
        <w:t>Residential / Build-to-Rent (BTR)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Location: </w:t>
      </w:r>
      <w:r>
        <w:rPr>
          <w:rFonts w:ascii="Calibri" w:hAnsi="Calibri"/>
          <w:sz w:val="20"/>
        </w:rPr>
        <w:t>Spain (Southern Europe, Southern Europe, Southern Europe, Southern Europe, Southern Europe)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Investment Vehicle: </w:t>
      </w:r>
      <w:r>
        <w:rPr>
          <w:rFonts w:ascii="Calibri" w:hAnsi="Calibri"/>
          <w:sz w:val="20"/>
        </w:rPr>
        <w:t>Sponsor Sierra (formerly Sponsor Sierra)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ESG Contact: </w:t>
      </w:r>
      <w:r>
        <w:rPr>
          <w:rFonts w:ascii="Calibri" w:hAnsi="Calibri"/>
          <w:sz w:val="20"/>
        </w:rPr>
        <w:t>the ESG Contact, Portfolio Manager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ESG Sustainability Lead: </w:t>
      </w:r>
      <w:r>
        <w:rPr>
          <w:rFonts w:ascii="Calibri" w:hAnsi="Calibri"/>
          <w:sz w:val="20"/>
        </w:rPr>
        <w:t>the ESG Lead, Head of Compliance, Risk Management and Sustainability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Current ESG Scorecard Score: </w:t>
      </w:r>
      <w:r>
        <w:rPr>
          <w:rFonts w:ascii="Calibri" w:hAnsi="Calibri"/>
          <w:sz w:val="20"/>
        </w:rPr>
        <w:t>90.45% (2025 performance year) — source: 2025 Questionnaire Response (Jan 26, 2026)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Score Trend: </w:t>
      </w:r>
      <w:r>
        <w:rPr>
          <w:rFonts w:ascii="Calibri" w:hAnsi="Calibri"/>
          <w:sz w:val="20"/>
        </w:rPr>
        <w:t>53.66% (2021) → 58.57% (2022) → 81.73% (2023) → 84.96% (2024) → 90.45% (2025) — strong upward trajectory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Fund Status: </w:t>
      </w:r>
      <w:r>
        <w:rPr>
          <w:rFonts w:ascii="Calibri" w:hAnsi="Calibri"/>
          <w:sz w:val="20"/>
        </w:rPr>
        <w:t>Fund VI position exited in 2025; Fund VII remains active</w:t>
      </w:r>
    </w:p>
    <w:p/>
    <w:p>
      <w:pPr>
        <w:pStyle w:val="Heading2"/>
      </w:pPr>
      <w:r>
        <w:t>Scorecard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008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Performance</w:t>
              <w:br/>
              <w:t>Year</w:t>
            </w:r>
          </w:p>
        </w:tc>
        <w:tc>
          <w:tcPr>
            <w:tcW w:type="dxa" w:w="1152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Total Score</w:t>
            </w:r>
          </w:p>
        </w:tc>
        <w:tc>
          <w:tcPr>
            <w:tcW w:type="dxa" w:w="1152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Policy &amp;</w:t>
              <w:br/>
              <w:t>Strategy</w:t>
            </w:r>
          </w:p>
        </w:tc>
        <w:tc>
          <w:tcPr>
            <w:tcW w:type="dxa" w:w="1296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Governance &amp;</w:t>
              <w:br/>
              <w:t>Resourcing</w:t>
            </w:r>
          </w:p>
        </w:tc>
        <w:tc>
          <w:tcPr>
            <w:tcW w:type="dxa" w:w="1152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Portfolio</w:t>
              <w:br/>
              <w:t>Management</w:t>
            </w:r>
          </w:p>
        </w:tc>
        <w:tc>
          <w:tcPr>
            <w:tcW w:type="dxa" w:w="1296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Monitoring &amp;</w:t>
              <w:br/>
              <w:t>Reporting</w:t>
            </w:r>
          </w:p>
        </w:tc>
        <w:tc>
          <w:tcPr>
            <w:shd w:fill="183347" w:val="clear"/>
          </w:tcPr>
          <w:p>
            <w:r>
              <w:rPr>
                <w:rFonts w:ascii="Calibri" w:hAnsi="Calibri"/>
                <w:sz w:val="18"/>
                <w:b/>
                <w:color w:val="FFFFFF"/>
              </w:rPr>
              <w:t>Fund VII</w:t>
              <w:br/>
              <w:t>Avg</w:t>
            </w:r>
          </w:p>
        </w:tc>
        <w:tc>
          <w:tcPr>
            <w:shd w:fill="183347" w:val="clear"/>
          </w:tcPr>
          <w:p>
            <w:r>
              <w:rPr>
                <w:rFonts w:ascii="Calibri" w:hAnsi="Calibri"/>
                <w:sz w:val="18"/>
                <w:b/>
                <w:color w:val="FFFFFF"/>
              </w:rPr>
              <w:t>MIR</w:t>
              <w:br/>
              <w:t>Avg</w:t>
            </w:r>
          </w:p>
        </w:tc>
        <w:tc>
          <w:tcPr>
            <w:tcW w:type="dxa" w:w="2592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color w:val="000000"/>
                <w:sz w:val="18"/>
              </w:rPr>
              <w:t>2021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53.66%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~17.85 pts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color w:val="000000"/>
                <w:sz w:val="18"/>
              </w:rPr>
              <w:t>~11.36 pts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~7.50 pts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color w:val="000000"/>
                <w:sz w:val="18"/>
              </w:rPr>
              <w:t>~16.94 pts</w:t>
            </w:r>
          </w:p>
        </w:tc>
        <w:tc>
          <w:p>
            <w:r>
              <w:rPr>
                <w:rFonts w:ascii="Calibri" w:hAnsi="Calibri"/>
                <w:sz w:val="18"/>
                <w:color w:val="000000"/>
              </w:rPr>
              <w:t>—</w:t>
            </w:r>
          </w:p>
        </w:tc>
        <w:tc>
          <w:p>
            <w:r>
              <w:rPr>
                <w:rFonts w:ascii="Calibri" w:hAnsi="Calibri"/>
                <w:sz w:val="18"/>
                <w:color w:val="000000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color w:val="000000"/>
                <w:sz w:val="18"/>
              </w:rPr>
              <w:t>Sponsor Sierra ESG Scorecard 2021.pdf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color w:val="000000"/>
                <w:sz w:val="18"/>
              </w:rPr>
              <w:t>2022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58.57%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~18.22 pts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color w:val="000000"/>
                <w:sz w:val="18"/>
              </w:rPr>
              <w:t>~17.05 pts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~13.06 pts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color w:val="000000"/>
                <w:sz w:val="18"/>
              </w:rPr>
              <w:t>~10.25 pts</w:t>
            </w:r>
          </w:p>
        </w:tc>
        <w:tc>
          <w:p>
            <w:r>
              <w:rPr>
                <w:rFonts w:ascii="Calibri" w:hAnsi="Calibri"/>
                <w:sz w:val="18"/>
                <w:color w:val="000000"/>
              </w:rPr>
              <w:t>—</w:t>
            </w:r>
          </w:p>
        </w:tc>
        <w:tc>
          <w:p>
            <w:r>
              <w:rPr>
                <w:rFonts w:ascii="Calibri" w:hAnsi="Calibri"/>
                <w:sz w:val="18"/>
                <w:color w:val="000000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color w:val="000000"/>
                <w:sz w:val="18"/>
              </w:rPr>
              <w:t>Sponsor Sierra ESG Scorecard 2022.pdf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color w:val="000000"/>
                <w:sz w:val="18"/>
              </w:rPr>
              <w:t>2023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81.73%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97.08%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color w:val="000000"/>
                <w:sz w:val="18"/>
              </w:rPr>
              <w:t>64.17%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73.88%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color w:val="000000"/>
                <w:sz w:val="18"/>
              </w:rPr>
              <w:t>79.00%</w:t>
            </w:r>
          </w:p>
        </w:tc>
        <w:tc>
          <w:p>
            <w:r>
              <w:rPr>
                <w:rFonts w:ascii="Calibri" w:hAnsi="Calibri"/>
                <w:sz w:val="18"/>
                <w:color w:val="000000"/>
              </w:rPr>
              <w:t>57%</w:t>
            </w:r>
          </w:p>
        </w:tc>
        <w:tc>
          <w:p>
            <w:r>
              <w:rPr>
                <w:rFonts w:ascii="Calibri" w:hAnsi="Calibri"/>
                <w:sz w:val="18"/>
                <w:color w:val="000000"/>
              </w:rPr>
              <w:t>54%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color w:val="000000"/>
                <w:sz w:val="18"/>
              </w:rPr>
              <w:t>2024 ESG Contact-Sponsor Sierra.pdf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color w:val="000000"/>
                <w:sz w:val="18"/>
              </w:rPr>
              <w:t>2024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84.96%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97.08%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color w:val="000000"/>
                <w:sz w:val="18"/>
              </w:rPr>
              <w:t>64.17%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82.41%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color w:val="000000"/>
                <w:sz w:val="18"/>
              </w:rPr>
              <w:t>85.00%</w:t>
            </w:r>
          </w:p>
        </w:tc>
        <w:tc>
          <w:p>
            <w:r>
              <w:rPr>
                <w:rFonts w:ascii="Calibri" w:hAnsi="Calibri"/>
                <w:sz w:val="18"/>
                <w:color w:val="000000"/>
              </w:rPr>
              <w:t>61%</w:t>
            </w:r>
          </w:p>
        </w:tc>
        <w:tc>
          <w:p>
            <w:r>
              <w:rPr>
                <w:rFonts w:ascii="Calibri" w:hAnsi="Calibri"/>
                <w:sz w:val="18"/>
                <w:color w:val="000000"/>
              </w:rPr>
              <w:t>62%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color w:val="000000"/>
                <w:sz w:val="18"/>
              </w:rPr>
              <w:t>ESG Contact-Sponsor Sierra2025.pdf</w:t>
            </w:r>
          </w:p>
        </w:tc>
      </w:tr>
      <w:tr>
        <w:tc>
          <w:tcPr>
            <w:tcW w:type="dxa" w:w="1008"/>
          </w:tcPr>
          <w:p>
            <w:r>
              <w:rPr>
                <w:rFonts w:ascii="Calibri" w:hAnsi="Calibri"/>
                <w:color w:val="000000"/>
                <w:sz w:val="18"/>
              </w:rPr>
              <w:t>2025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90.45%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96.20%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color w:val="000000"/>
                <w:sz w:val="18"/>
              </w:rPr>
              <w:t>70.83%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color w:val="000000"/>
                <w:sz w:val="18"/>
              </w:rPr>
              <w:t>82.41%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color w:val="000000"/>
                <w:sz w:val="18"/>
              </w:rPr>
              <w:t>100.00%</w:t>
            </w:r>
          </w:p>
        </w:tc>
        <w:tc>
          <w:p>
            <w:r>
              <w:rPr>
                <w:rFonts w:ascii="Calibri" w:hAnsi="Calibri"/>
                <w:sz w:val="18"/>
                <w:color w:val="000000"/>
              </w:rPr>
              <w:t>60%</w:t>
            </w:r>
          </w:p>
        </w:tc>
        <w:tc>
          <w:p>
            <w:r>
              <w:rPr>
                <w:rFonts w:ascii="Calibri" w:hAnsi="Calibri"/>
                <w:sz w:val="18"/>
                <w:color w:val="000000"/>
              </w:rPr>
              <w:t>58%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color w:val="000000"/>
                <w:sz w:val="18"/>
              </w:rPr>
              <w:t>2025 Questionnaire Response</w:t>
            </w:r>
          </w:p>
        </w:tc>
      </w:tr>
    </w:tbl>
    <w:p>
      <w:r>
        <w:br w:type="page"/>
      </w:r>
    </w:p>
    <w:p>
      <w:pPr>
        <w:pStyle w:val="Heading1"/>
      </w:pPr>
      <w:r>
        <w:t>2. ENGAGEMENT HISTORY</w:t>
      </w:r>
    </w:p>
    <w:p>
      <w:r>
        <w:rPr>
          <w:rFonts w:ascii="Calibri" w:hAnsi="Calibri"/>
          <w:sz w:val="20"/>
        </w:rPr>
        <w:t>(Reverse chronological order)</w:t>
      </w:r>
    </w:p>
    <w:p>
      <w:pPr>
        <w:pStyle w:val="Heading2"/>
      </w:pPr>
      <w:r>
        <w:t>2025 — Annual ESG Questionnaire Review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Submission Date: </w:t>
      </w:r>
      <w:r>
        <w:rPr>
          <w:rFonts w:ascii="Calibri" w:hAnsi="Calibri"/>
          <w:sz w:val="20"/>
        </w:rPr>
        <w:t>January 26, 2026 (covering 2025 performance year)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Respondent: </w:t>
      </w:r>
      <w:r>
        <w:rPr>
          <w:rFonts w:ascii="Calibri" w:hAnsi="Calibri"/>
          <w:sz w:val="20"/>
        </w:rPr>
        <w:t>the ESG Contact, Portfolio Manager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Total Score: </w:t>
      </w:r>
      <w:r>
        <w:rPr>
          <w:rFonts w:ascii="Calibri" w:hAnsi="Calibri"/>
          <w:sz w:val="20"/>
        </w:rPr>
        <w:t>90.45% (up from 84.96% in 2024)</w:t>
      </w:r>
    </w:p>
    <w:p>
      <w:r>
        <w:rPr>
          <w:rFonts w:ascii="Calibri" w:hAnsi="Calibri"/>
          <w:b/>
          <w:sz w:val="20"/>
        </w:rPr>
        <w:t>Key Discussion Points / Responses:</w:t>
      </w:r>
    </w:p>
    <w:p>
      <w:pPr>
        <w:pStyle w:val="ListBullet"/>
      </w:pPr>
      <w:r>
        <w:rPr>
          <w:rFonts w:ascii="Calibri" w:hAnsi="Calibri"/>
          <w:sz w:val="20"/>
        </w:rPr>
        <w:t>Monitoring &amp; Reporting reached a perfect 100% score</w:t>
      </w:r>
    </w:p>
    <w:p>
      <w:pPr>
        <w:pStyle w:val="ListBullet"/>
      </w:pPr>
      <w:r>
        <w:rPr>
          <w:rFonts w:ascii="Calibri" w:hAnsi="Calibri"/>
          <w:sz w:val="20"/>
        </w:rPr>
        <w:t>Governance &amp; Resourcing improved to 70.83% (up from 64.17%)</w:t>
      </w:r>
    </w:p>
    <w:p>
      <w:pPr>
        <w:pStyle w:val="ListBullet"/>
      </w:pPr>
      <w:r>
        <w:rPr>
          <w:rFonts w:ascii="Calibri" w:hAnsi="Calibri"/>
          <w:sz w:val="20"/>
        </w:rPr>
        <w:t>Policy &amp; Strategy at 96.20%; Portfolio Management at 82.41%</w:t>
      </w:r>
    </w:p>
    <w:p>
      <w:pPr>
        <w:pStyle w:val="ListBullet"/>
      </w:pPr>
      <w:r>
        <w:rPr>
          <w:rFonts w:ascii="Calibri" w:hAnsi="Calibri"/>
          <w:sz w:val="20"/>
        </w:rPr>
        <w:t>Net Zero Policy: Still in development — no formal commitment yet</w:t>
      </w:r>
    </w:p>
    <w:p>
      <w:pPr>
        <w:pStyle w:val="ListBullet"/>
      </w:pPr>
      <w:r>
        <w:rPr>
          <w:rFonts w:ascii="Calibri" w:hAnsi="Calibri"/>
          <w:sz w:val="20"/>
        </w:rPr>
        <w:t>Sustainability Capex: 5.7M€ approx (most recent calendar year)</w:t>
      </w:r>
    </w:p>
    <w:p>
      <w:pPr>
        <w:pStyle w:val="ListBullet"/>
      </w:pPr>
      <w:r>
        <w:rPr>
          <w:rFonts w:ascii="Calibri" w:hAnsi="Calibri"/>
          <w:sz w:val="20"/>
        </w:rPr>
        <w:t>Green building certifications: 75-100% of portfolio</w:t>
      </w:r>
    </w:p>
    <w:p>
      <w:pPr>
        <w:pStyle w:val="ListBullet"/>
      </w:pPr>
      <w:r>
        <w:rPr>
          <w:rFonts w:ascii="Calibri" w:hAnsi="Calibri"/>
          <w:sz w:val="20"/>
        </w:rPr>
        <w:t>EPC benchmarking: 75-100% of portfolio</w:t>
      </w:r>
    </w:p>
    <w:p>
      <w:pPr>
        <w:pStyle w:val="ListBullet"/>
      </w:pPr>
      <w:r>
        <w:rPr>
          <w:rFonts w:ascii="Calibri" w:hAnsi="Calibri"/>
          <w:sz w:val="20"/>
        </w:rPr>
        <w:t>All data streams (energy, water, waste, GHG) tracked and reported at asset level</w:t>
      </w:r>
    </w:p>
    <w:p>
      <w:pPr>
        <w:pStyle w:val="ListBullet"/>
      </w:pPr>
      <w:r>
        <w:rPr>
          <w:rFonts w:ascii="Calibri" w:hAnsi="Calibri"/>
          <w:sz w:val="20"/>
        </w:rPr>
        <w:t>Energy data third-party assured</w:t>
      </w:r>
    </w:p>
    <w:p>
      <w:pPr>
        <w:pStyle w:val="ListBullet"/>
      </w:pPr>
      <w:r>
        <w:rPr>
          <w:rFonts w:ascii="Calibri" w:hAnsi="Calibri"/>
          <w:sz w:val="20"/>
        </w:rPr>
        <w:t>Environmental policy covers: Climate change, GHG emissions, Energy consumption, Material use, Waste management, Water management, Renewable energy, Sustainable procurement</w:t>
      </w:r>
    </w:p>
    <w:p>
      <w:pPr>
        <w:pStyle w:val="ListBullet"/>
      </w:pPr>
      <w:r>
        <w:rPr>
          <w:rFonts w:ascii="Calibri" w:hAnsi="Calibri"/>
          <w:sz w:val="20"/>
        </w:rPr>
        <w:t>Social policy: Health &amp; safety, Community development, Inclusion &amp; diversity (employee DEI training), Labor standards, Stakeholder relations, Human rights</w:t>
      </w:r>
    </w:p>
    <w:p>
      <w:pPr>
        <w:pStyle w:val="ListBullet"/>
      </w:pPr>
      <w:r>
        <w:rPr>
          <w:rFonts w:ascii="Calibri" w:hAnsi="Calibri"/>
          <w:sz w:val="20"/>
        </w:rPr>
        <w:t>Governance policy: Bribery &amp; corruption, Executive compensation, Fraud, Political contributions, Ethics, Shareholder rights, Disaster recovery, Vendor Conduct, Cybersecurity</w:t>
      </w:r>
    </w:p>
    <w:p>
      <w:pPr>
        <w:pStyle w:val="ListBullet"/>
      </w:pPr>
      <w:r>
        <w:rPr>
          <w:rFonts w:ascii="Calibri" w:hAnsi="Calibri"/>
          <w:sz w:val="20"/>
        </w:rPr>
        <w:t>ESG frameworks: GRESB, TCFD, GRI, UN PRI, UN SDGs (3 or more)</w:t>
      </w:r>
    </w:p>
    <w:p>
      <w:pPr>
        <w:pStyle w:val="ListBullet"/>
      </w:pPr>
      <w:r>
        <w:rPr>
          <w:rFonts w:ascii="Calibri" w:hAnsi="Calibri"/>
          <w:sz w:val="20"/>
        </w:rPr>
        <w:t>BCP with climate risks: Full BCP with climate risks and resilience in full scope</w:t>
      </w:r>
    </w:p>
    <w:p>
      <w:pPr>
        <w:pStyle w:val="ListBullet"/>
      </w:pPr>
      <w:r>
        <w:rPr>
          <w:rFonts w:ascii="Calibri" w:hAnsi="Calibri"/>
          <w:sz w:val="20"/>
        </w:rPr>
        <w:t>Green leases: Informal cooperation clauses only — no formalized green lease language</w:t>
      </w:r>
    </w:p>
    <w:p>
      <w:pPr>
        <w:pStyle w:val="ListBullet"/>
      </w:pPr>
      <w:r>
        <w:rPr>
          <w:rFonts w:ascii="Calibri" w:hAnsi="Calibri"/>
          <w:sz w:val="20"/>
        </w:rPr>
        <w:t>Energy Reduction Management plan: 75-100% of assets</w:t>
      </w:r>
    </w:p>
    <w:p>
      <w:pPr>
        <w:pStyle w:val="ListBullet"/>
      </w:pPr>
      <w:r>
        <w:rPr>
          <w:rFonts w:ascii="Calibri" w:hAnsi="Calibri"/>
          <w:sz w:val="20"/>
        </w:rPr>
        <w:t>Water Reduction Management plan: 50-75% of assets</w:t>
      </w:r>
    </w:p>
    <w:p>
      <w:pPr>
        <w:pStyle w:val="ListBullet"/>
      </w:pPr>
      <w:r>
        <w:rPr>
          <w:rFonts w:ascii="Calibri" w:hAnsi="Calibri"/>
          <w:sz w:val="20"/>
        </w:rPr>
        <w:t>Waste Reduction Management plan: 50-75% of assets</w:t>
      </w:r>
    </w:p>
    <w:p>
      <w:pPr>
        <w:pStyle w:val="ListBullet"/>
      </w:pPr>
      <w:r>
        <w:rPr>
          <w:rFonts w:ascii="Calibri" w:hAnsi="Calibri"/>
          <w:sz w:val="20"/>
        </w:rPr>
        <w:t>Embodied carbon consideration: 0% of assets</w:t>
      </w:r>
    </w:p>
    <w:p>
      <w:pPr>
        <w:pStyle w:val="ListBullet"/>
      </w:pPr>
      <w:r>
        <w:rPr>
          <w:rFonts w:ascii="Calibri" w:hAnsi="Calibri"/>
          <w:sz w:val="20"/>
        </w:rPr>
        <w:t>Climate change adaptation plan: No formal plan — assesses for climate-related risks on regular basis</w:t>
      </w:r>
    </w:p>
    <w:p>
      <w:pPr>
        <w:pStyle w:val="Heading2"/>
      </w:pPr>
      <w:r>
        <w:t>2024 — Annual ESG Review Call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Score: </w:t>
      </w:r>
      <w:r>
        <w:rPr>
          <w:rFonts w:ascii="Calibri" w:hAnsi="Calibri"/>
          <w:sz w:val="20"/>
        </w:rPr>
        <w:t>84.96%</w:t>
      </w:r>
    </w:p>
    <w:p>
      <w:r>
        <w:rPr>
          <w:rFonts w:ascii="Calibri" w:hAnsi="Calibri"/>
          <w:b/>
          <w:sz w:val="20"/>
        </w:rPr>
        <w:t>Key Discussion Points:</w:t>
      </w:r>
    </w:p>
    <w:p>
      <w:pPr>
        <w:pStyle w:val="ListBullet"/>
      </w:pPr>
      <w:r>
        <w:rPr>
          <w:rFonts w:ascii="Calibri" w:hAnsi="Calibri"/>
          <w:sz w:val="20"/>
        </w:rPr>
        <w:t>EPC upgrade program: 7 assets completing E→C, 4 more starting, 9 remaining; total 20 assets by 2025/2026</w:t>
      </w:r>
    </w:p>
    <w:p>
      <w:pPr>
        <w:pStyle w:val="ListBullet"/>
      </w:pPr>
      <w:r>
        <w:rPr>
          <w:rFonts w:ascii="Calibri" w:hAnsi="Calibri"/>
          <w:sz w:val="20"/>
        </w:rPr>
        <w:t>Budget: $30M for EPC upgrade projects</w:t>
      </w:r>
    </w:p>
    <w:p>
      <w:pPr>
        <w:pStyle w:val="ListBullet"/>
      </w:pPr>
      <w:r>
        <w:rPr>
          <w:rFonts w:ascii="Calibri" w:hAnsi="Calibri"/>
          <w:sz w:val="20"/>
        </w:rPr>
        <w:t>CRREM analysis underway portfolio-wide to determine stranding years and outline asset-level reduction pathways</w:t>
      </w:r>
    </w:p>
    <w:p>
      <w:pPr>
        <w:pStyle w:val="ListBullet"/>
      </w:pPr>
      <w:r>
        <w:rPr>
          <w:rFonts w:ascii="Calibri" w:hAnsi="Calibri"/>
          <w:sz w:val="20"/>
        </w:rPr>
        <w:t>BREEAM-Use certification via consultant Alma for assets where EPC upgrade not financially prudent</w:t>
      </w:r>
    </w:p>
    <w:p>
      <w:pPr>
        <w:pStyle w:val="ListBullet"/>
      </w:pPr>
      <w:r>
        <w:rPr>
          <w:rFonts w:ascii="Calibri" w:hAnsi="Calibri"/>
          <w:sz w:val="20"/>
        </w:rPr>
        <w:t>Gas-to-electric switching prioritized for standing assets</w:t>
      </w:r>
    </w:p>
    <w:p>
      <w:pPr>
        <w:pStyle w:val="ListBullet"/>
      </w:pPr>
      <w:r>
        <w:rPr>
          <w:rFonts w:ascii="Calibri" w:hAnsi="Calibri"/>
          <w:sz w:val="20"/>
        </w:rPr>
        <w:t>Hoop carpooling app pilot — reducing Scope 3 emissions via carpooling to city center</w:t>
      </w:r>
    </w:p>
    <w:p>
      <w:pPr>
        <w:pStyle w:val="ListBullet"/>
      </w:pPr>
      <w:r>
        <w:rPr>
          <w:rFonts w:ascii="Calibri" w:hAnsi="Calibri"/>
          <w:sz w:val="20"/>
        </w:rPr>
        <w:t>Tenant app for EV charger communications</w:t>
      </w:r>
    </w:p>
    <w:p>
      <w:pPr>
        <w:pStyle w:val="ListBullet"/>
      </w:pPr>
      <w:r>
        <w:rPr>
          <w:rFonts w:ascii="Calibri" w:hAnsi="Calibri"/>
          <w:sz w:val="20"/>
        </w:rPr>
        <w:t>Vendor contracts include green clause</w:t>
      </w:r>
    </w:p>
    <w:p>
      <w:pPr>
        <w:pStyle w:val="ListBullet"/>
      </w:pPr>
      <w:r>
        <w:rPr>
          <w:rFonts w:ascii="Calibri" w:hAnsi="Calibri"/>
          <w:sz w:val="20"/>
        </w:rPr>
        <w:t>JV/Fund rights: No control/approval rights</w:t>
      </w:r>
    </w:p>
    <w:p>
      <w:pPr>
        <w:pStyle w:val="ListBullet"/>
      </w:pPr>
      <w:r>
        <w:rPr>
          <w:rFonts w:ascii="Calibri" w:hAnsi="Calibri"/>
          <w:sz w:val="20"/>
        </w:rPr>
        <w:t>GRI Reporting and UN PRI Signatories; TCFD/IFRS Alignment</w:t>
      </w:r>
    </w:p>
    <w:p>
      <w:pPr>
        <w:pStyle w:val="Heading2"/>
      </w:pPr>
      <w:r>
        <w:t>2023 — Annual ESG Review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Score: </w:t>
      </w:r>
      <w:r>
        <w:rPr>
          <w:rFonts w:ascii="Calibri" w:hAnsi="Calibri"/>
          <w:sz w:val="20"/>
        </w:rPr>
        <w:t>81.73% (significant jump from 58.57% in 2022)</w:t>
      </w:r>
    </w:p>
    <w:p>
      <w:r>
        <w:rPr>
          <w:rFonts w:ascii="Calibri" w:hAnsi="Calibri"/>
          <w:b/>
          <w:sz w:val="20"/>
        </w:rPr>
        <w:t>Environmental Metrics (2023 performance year):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Energy Use Intensity: </w:t>
      </w:r>
      <w:r>
        <w:rPr>
          <w:rFonts w:ascii="Calibri" w:hAnsi="Calibri"/>
          <w:sz w:val="20"/>
        </w:rPr>
        <w:t>106.9 kBTU/sq ft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Carbon Intensity: </w:t>
      </w:r>
      <w:r>
        <w:rPr>
          <w:rFonts w:ascii="Calibri" w:hAnsi="Calibri"/>
          <w:sz w:val="20"/>
        </w:rPr>
        <w:t>4.7 kg CO2/sq ft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Renewable Energy: </w:t>
      </w:r>
      <w:r>
        <w:rPr>
          <w:rFonts w:ascii="Calibri" w:hAnsi="Calibri"/>
          <w:sz w:val="20"/>
        </w:rPr>
        <w:t>43%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Sq ft with Energy Ratings: </w:t>
      </w:r>
      <w:r>
        <w:rPr>
          <w:rFonts w:ascii="Calibri" w:hAnsi="Calibri"/>
          <w:sz w:val="20"/>
        </w:rPr>
        <w:t>100%</w:t>
      </w:r>
    </w:p>
    <w:p>
      <w:r>
        <w:rPr>
          <w:rFonts w:ascii="Calibri" w:hAnsi="Calibri"/>
          <w:b/>
          <w:sz w:val="20"/>
        </w:rPr>
        <w:t>Project EREB Launched:</w:t>
      </w:r>
    </w:p>
    <w:p>
      <w:pPr>
        <w:pStyle w:val="ListBullet"/>
      </w:pPr>
      <w:r>
        <w:rPr>
          <w:rFonts w:ascii="Calibri" w:hAnsi="Calibri"/>
          <w:sz w:val="20"/>
        </w:rPr>
        <w:t>24.9M€ Bucket 1 investment across 18 assets</w:t>
      </w:r>
    </w:p>
    <w:p>
      <w:pPr>
        <w:pStyle w:val="ListBullet"/>
      </w:pPr>
      <w:r>
        <w:rPr>
          <w:rFonts w:ascii="Calibri" w:hAnsi="Calibri"/>
          <w:sz w:val="20"/>
        </w:rPr>
        <w:t>Regions: Southern Europe, Southern Europe, Southern Europe, Southern Europe, Southern Europe</w:t>
      </w:r>
    </w:p>
    <w:p>
      <w:pPr>
        <w:pStyle w:val="ListBullet"/>
      </w:pPr>
      <w:r>
        <w:rPr>
          <w:rFonts w:ascii="Calibri" w:hAnsi="Calibri"/>
          <w:sz w:val="20"/>
        </w:rPr>
        <w:t>Target: Improve EPC labels to 'C'</w:t>
      </w:r>
    </w:p>
    <w:p>
      <w:pPr>
        <w:pStyle w:val="ListBullet"/>
      </w:pPr>
      <w:r>
        <w:rPr>
          <w:rFonts w:ascii="Calibri" w:hAnsi="Calibri"/>
          <w:sz w:val="20"/>
        </w:rPr>
        <w:t>Focus on 25 assets with EPC ratings of E to improve</w:t>
      </w:r>
    </w:p>
    <w:p>
      <w:pPr>
        <w:pStyle w:val="ListBullet"/>
      </w:pPr>
      <w:r>
        <w:rPr>
          <w:rFonts w:ascii="Calibri" w:hAnsi="Calibri"/>
          <w:sz w:val="20"/>
        </w:rPr>
        <w:t>Technical actions: Aerothermal (no gas, most sustainable), Façade upgrades (most likely to get subsidies), Gas-to-electric switching</w:t>
      </w:r>
    </w:p>
    <w:p>
      <w:pPr>
        <w:pStyle w:val="ListBullet"/>
      </w:pPr>
      <w:r>
        <w:rPr>
          <w:rFonts w:ascii="Calibri" w:hAnsi="Calibri"/>
          <w:sz w:val="20"/>
        </w:rPr>
        <w:t>Phase 1: 4 assets in execution + 1 reconsidering</w:t>
      </w:r>
    </w:p>
    <w:p>
      <w:pPr>
        <w:pStyle w:val="ListBullet"/>
      </w:pPr>
      <w:r>
        <w:rPr>
          <w:rFonts w:ascii="Calibri" w:hAnsi="Calibri"/>
          <w:sz w:val="20"/>
        </w:rPr>
        <w:t>Subsidies available: e.g. Carabanchel I at 44%, Vallecas I at 39%</w:t>
      </w:r>
    </w:p>
    <w:p>
      <w:pPr>
        <w:pStyle w:val="Heading2"/>
      </w:pPr>
      <w:r>
        <w:t>2022 — Annual ESG Review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Score: </w:t>
      </w:r>
      <w:r>
        <w:rPr>
          <w:rFonts w:ascii="Calibri" w:hAnsi="Calibri"/>
          <w:sz w:val="20"/>
        </w:rPr>
        <w:t>58.57% (source: Sponsor Sierra ESG Scorecard 2022.pdf — authoritative)</w:t>
      </w:r>
    </w:p>
    <w:p>
      <w:r>
        <w:rPr>
          <w:rFonts w:ascii="Calibri" w:hAnsi="Calibri"/>
          <w:b/>
          <w:color w:val="FF0000"/>
          <w:sz w:val="20"/>
        </w:rPr>
        <w:t>DISCREPANCY: 2022 Scorecard Total — Engagement notes/scorecard PDF say 58.57%; Excel data model says 57.31% (or NaN). Source: Sponsor Sierra ESG Scorecard 2022.pdf vs ESG_Profile_Automation_Input_v3_1. Recommend: Use official scorecard PDF (58.57%).</w:t>
      </w:r>
    </w:p>
    <w:p>
      <w:pPr>
        <w:pStyle w:val="Heading2"/>
      </w:pPr>
      <w:r>
        <w:t>2021 — Annual ESG Review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Score: </w:t>
      </w:r>
      <w:r>
        <w:rPr>
          <w:rFonts w:ascii="Calibri" w:hAnsi="Calibri"/>
          <w:sz w:val="20"/>
        </w:rPr>
        <w:t>53.66% (source: Sponsor Sierra ESG Scorecard 2021.pdf)</w:t>
      </w:r>
    </w:p>
    <w:p>
      <w:r>
        <w:br w:type="page"/>
      </w:r>
    </w:p>
    <w:p>
      <w:pPr>
        <w:pStyle w:val="Heading1"/>
      </w:pPr>
      <w:r>
        <w:t>3. CURRENT ESG STATUS</w:t>
      </w:r>
    </w:p>
    <w:p>
      <w:r>
        <w:rPr>
          <w:rFonts w:ascii="Calibri" w:hAnsi="Calibri"/>
          <w:b/>
          <w:sz w:val="20"/>
        </w:rPr>
        <w:t>As of 2025 performance year (2025 Questionnaire Response, submitted January 26,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81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Sponsor Sierra 2025</w:t>
            </w:r>
          </w:p>
        </w:tc>
        <w:tc>
          <w:tcPr>
            <w:tcW w:type="dxa" w:w="1881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Fund VI Avg</w:t>
              <w:br/>
              <w:t>(at exit)</w:t>
            </w:r>
          </w:p>
        </w:tc>
        <w:tc>
          <w:tcPr>
            <w:tcW w:type="dxa" w:w="1881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Fund VII Avg</w:t>
              <w:br/>
              <w:t>(2025)</w:t>
            </w:r>
          </w:p>
        </w:tc>
        <w:tc>
          <w:tcPr>
            <w:tcW w:type="dxa" w:w="1881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MIR Avg</w:t>
              <w:br/>
              <w:t>(2025)*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Total ESG Score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90.45%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68%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60%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58%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Policy &amp; Strategy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96.20%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58%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57%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Governance &amp; Resourcing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71%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57%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63%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Portfolio Management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82.41%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48%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48%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Monitoring &amp; Reporting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100.00%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69%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000000"/>
                <w:sz w:val="18"/>
              </w:rPr>
              <w:t>62%</w:t>
            </w:r>
          </w:p>
        </w:tc>
      </w:tr>
    </w:tbl>
    <w:p>
      <w:r>
        <w:rPr>
          <w:rFonts w:ascii="Calibri" w:hAnsi="Calibri"/>
          <w:i/>
          <w:color w:val="666666"/>
          <w:sz w:val="16"/>
        </w:rPr>
        <w:t>*MIR average includes Funds VI, VII, and VIII combined — 2025 absolute reporting.</w:t>
      </w:r>
    </w:p>
    <w:p>
      <w:pPr>
        <w:pStyle w:val="Heading2"/>
      </w:pPr>
      <w:r>
        <w:rPr>
          <w:rFonts w:ascii="Calibri" w:hAnsi="Calibri"/>
        </w:rPr>
        <w:t>Fund VII Data Quality Context</w:t>
      </w:r>
    </w:p>
    <w:p>
      <w:pPr>
        <w:pStyle w:val="ListBullet"/>
      </w:pPr>
      <w:r>
        <w:rPr>
          <w:b/>
          <w:rFonts w:ascii="Calibri" w:hAnsi="Calibri"/>
          <w:sz w:val="20"/>
        </w:rPr>
        <w:t xml:space="preserve">Energy Data Coverage: </w:t>
      </w:r>
      <w:r>
        <w:rPr>
          <w:rFonts w:ascii="Calibri" w:hAnsi="Calibri"/>
          <w:sz w:val="20"/>
        </w:rPr>
        <w:t>Fund VII 19% vs MIR average 27%</w:t>
      </w:r>
    </w:p>
    <w:p>
      <w:pPr>
        <w:pStyle w:val="ListBullet"/>
      </w:pPr>
      <w:r>
        <w:rPr>
          <w:b/>
          <w:rFonts w:ascii="Calibri" w:hAnsi="Calibri"/>
          <w:sz w:val="20"/>
        </w:rPr>
        <w:t xml:space="preserve">Scorecard Response Rate: </w:t>
      </w:r>
      <w:r>
        <w:rPr>
          <w:rFonts w:ascii="Calibri" w:hAnsi="Calibri"/>
          <w:sz w:val="20"/>
        </w:rPr>
        <w:t>Fund VII 82% vs MIR average 92%</w:t>
      </w:r>
    </w:p>
    <w:p>
      <w:pPr>
        <w:pStyle w:val="ListBullet"/>
      </w:pPr>
      <w:r>
        <w:rPr>
          <w:b/>
          <w:rFonts w:ascii="Calibri" w:hAnsi="Calibri"/>
          <w:sz w:val="20"/>
        </w:rPr>
        <w:t xml:space="preserve">% Renewable Energy: </w:t>
      </w:r>
      <w:r>
        <w:rPr>
          <w:rFonts w:ascii="Calibri" w:hAnsi="Calibri"/>
          <w:sz w:val="20"/>
        </w:rPr>
        <w:t>Fund VII 46% vs MIR average 56%</w:t>
      </w:r>
    </w:p>
    <w:p>
      <w:pPr>
        <w:pStyle w:val="ListBullet"/>
      </w:pPr>
      <w:r>
        <w:rPr>
          <w:b/>
          <w:rFonts w:ascii="Calibri" w:hAnsi="Calibri"/>
          <w:sz w:val="20"/>
        </w:rPr>
        <w:t xml:space="preserve">Addressing Net Zero: </w:t>
      </w:r>
      <w:r>
        <w:rPr>
          <w:rFonts w:ascii="Calibri" w:hAnsi="Calibri"/>
          <w:sz w:val="20"/>
        </w:rPr>
        <w:t>Fund VII 44% vs MIR average 52%</w:t>
      </w:r>
    </w:p>
    <w:p>
      <w:pPr>
        <w:pStyle w:val="ListBullet"/>
      </w:pPr>
      <w:r>
        <w:rPr>
          <w:i/>
          <w:rFonts w:ascii="Calibri" w:hAnsi="Calibri"/>
          <w:sz w:val="20"/>
        </w:rPr>
        <w:t>Sponsor Sierra is among the leading contributors to Fund VII's data coverage improvement.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760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Data Coverage — Energy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✓ Tracked at asset level; third-party assured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Data Coverage — Water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✓ Tracked at asset level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Data Coverage — Waste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✓ Tracked at asset level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Data Coverage — GHG Emissions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✓ Tracked at asset level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Green Building Certifications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75-100% of portfolio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EPC Benchmarking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75-100% of portfolio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Net Zero Status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In development — no formal Net Zero Policy yet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Sustainability Capex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5.7M€ (most recent calendar year)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Regulatory Frameworks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GRESB, TCFD, GRI, UN PRI, UN SDGs — all active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ESG Disclosure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Dedicated standalone ESG report published annually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Energy Reduction Mgmt Plan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75-100% of assets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Water Reduction Mgmt Plan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50-75% of assets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Waste Reduction Mgmt Plan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50-75% of assets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Embodied Carbon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0% of assets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Climate Adaptation Plan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No formal plan — ad hoc risk assessments only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Green Leases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Informal cooperation clauses only — no formalized language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  <w:color w:val="000000"/>
        </w:rPr>
        <w:t>Physical Risk Exposure: Moderate — Wind, Heat, Drought (Spain residential context). Source: LPAC Slide Deck 2025.</w:t>
      </w:r>
    </w:p>
    <w:p>
      <w:pPr>
        <w:pStyle w:val="Heading2"/>
      </w:pPr>
      <w:r>
        <w:t>Transition Risks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Regulatory: </w:t>
      </w:r>
      <w:r>
        <w:rPr>
          <w:rFonts w:ascii="Calibri" w:hAnsi="Calibri"/>
          <w:sz w:val="20"/>
        </w:rPr>
        <w:t>Spanish energy efficiency regulations; EPC upgrade requirements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Stranding: </w:t>
      </w:r>
      <w:r>
        <w:rPr>
          <w:rFonts w:ascii="Calibri" w:hAnsi="Calibri"/>
          <w:sz w:val="20"/>
        </w:rPr>
        <w:t>CRREM analysis underway — stranding years not yet provided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Market: </w:t>
      </w:r>
      <w:r>
        <w:rPr>
          <w:rFonts w:ascii="Calibri" w:hAnsi="Calibri"/>
          <w:sz w:val="20"/>
        </w:rPr>
        <w:t>Residential BTR sector exposure to energy cost pass-through limitations</w:t>
      </w:r>
    </w:p>
    <w:p>
      <w:pPr>
        <w:pStyle w:val="Heading2"/>
      </w:pPr>
      <w:r>
        <w:t>Physical Risks</w:t>
      </w:r>
    </w:p>
    <w:p>
      <w:r>
        <w:rPr>
          <w:rFonts w:ascii="Calibri" w:hAnsi="Calibri"/>
          <w:b/>
          <w:color w:val="FF0000"/>
          <w:sz w:val="20"/>
        </w:rPr>
        <w:t>Not provided — First Street data not available for this sponsor.</w:t>
      </w:r>
    </w:p>
    <w:p>
      <w:pPr>
        <w:pStyle w:val="Heading2"/>
      </w:pPr>
      <w:r>
        <w:t>REGRESSION: Net Zero Policy — Net Zero Policy Development is actively in progress — Sponsor Sierra has committed to developing a formal policy and setting targets. Madison will push for a formalized commitment with a target year in 2026 engagement. However, status has not materially changed from prior year.</w:t>
      </w:r>
    </w:p>
    <w:p>
      <w:r>
        <w:rPr>
          <w:rFonts w:ascii="Calibri" w:hAnsi="Calibri"/>
          <w:sz w:val="20"/>
        </w:rPr>
        <w:t>CRREM analysis being conducted portfolio-wide (as of 2024 call) — specific stranding years not yet provided.</w:t>
      </w:r>
    </w:p>
    <w:p>
      <w:pPr>
        <w:pStyle w:val="Heading2"/>
      </w:pPr>
      <w:r>
        <w:t>GreenStreet Sector Risk</w:t>
      </w:r>
    </w:p>
    <w:p>
      <w:r>
        <w:rPr>
          <w:rFonts w:ascii="Calibri" w:hAnsi="Calibri"/>
          <w:b/>
          <w:color w:val="FF0000"/>
          <w:sz w:val="20"/>
        </w:rPr>
        <w:t>Not provided — GreenStreet data not available for this sponsor.</w:t>
      </w:r>
    </w:p>
    <w:p>
      <w:pPr>
        <w:pStyle w:val="Heading2"/>
      </w:pPr>
      <w:r>
        <w:t>Regressions</w:t>
      </w:r>
    </w:p>
    <w:p>
      <w:r>
        <w:rPr>
          <w:rFonts w:ascii="Calibri" w:hAnsi="Calibri"/>
          <w:b/>
          <w:sz w:val="20"/>
        </w:rPr>
        <w:t>The following items represent commitments, certifications, or metrics that were present in a prior year but are absent, reduced, or show no progress in the current year:</w:t>
      </w:r>
    </w:p>
    <w:p>
      <w:r>
        <w:rPr>
          <w:rFonts w:ascii="Calibri" w:hAnsi="Calibri"/>
          <w:b/>
          <w:color w:val="FF0000"/>
          <w:sz w:val="20"/>
        </w:rPr>
        <w:t>REGRESSION: Net Zero Policy — Still "in the process of developing" in 2025 — same status as prior year; no progress to a formal commitment.</w:t>
      </w:r>
    </w:p>
    <w:p>
      <w:r>
        <w:rPr>
          <w:rFonts w:ascii="Calibri" w:hAnsi="Calibri"/>
          <w:b/>
          <w:color w:val="FF0000"/>
          <w:sz w:val="20"/>
        </w:rPr>
        <w:t>REGRESSION: Green Lease Language — No formalized green lease language in 2025 — only informal cooperation clauses; persistent gap across multiple years.</w:t>
      </w:r>
    </w:p>
    <w:p>
      <w:r>
        <w:rPr>
          <w:rFonts w:ascii="Calibri" w:hAnsi="Calibri"/>
          <w:b/>
          <w:color w:val="FF0000"/>
          <w:sz w:val="20"/>
        </w:rPr>
        <w:t>REGRESSION: Climate Change Adaptation Plan — No formal plan in 2025 — only ad hoc risk assessments; persistent gap.</w:t>
      </w:r>
    </w:p>
    <w:p>
      <w:r>
        <w:rPr>
          <w:rFonts w:ascii="Calibri" w:hAnsi="Calibri"/>
          <w:b/>
          <w:color w:val="FF0000"/>
          <w:sz w:val="20"/>
        </w:rPr>
        <w:t>REGRESSION: Embodied Carbon — 0% of assets consider embodied carbon during major renovations — no progress noted.</w:t>
      </w:r>
    </w:p>
    <w:p>
      <w:r>
        <w:rPr>
          <w:rFonts w:ascii="Calibri" w:hAnsi="Calibri"/>
          <w:b/>
          <w:color w:val="FF0000"/>
          <w:sz w:val="20"/>
        </w:rPr>
        <w:t>REGRESSION: Employee Engagement Program — Informal only — no consistent engagement or goals set; persistent gap.</w:t>
      </w:r>
    </w:p>
    <w:p>
      <w:r>
        <w:rPr>
          <w:rFonts w:ascii="Calibri" w:hAnsi="Calibri"/>
          <w:b/>
          <w:color w:val="FF0000"/>
          <w:sz w:val="20"/>
        </w:rPr>
        <w:t>REGRESSION: Employee Wellness Program — "Somewhat in place but room for improvement" — persistent gap.</w:t>
      </w:r>
    </w:p>
    <w:p>
      <w:r>
        <w:rPr>
          <w:b/>
          <w:rFonts w:ascii="Calibri" w:hAnsi="Calibri"/>
          <w:sz w:val="20"/>
          <w:color w:val="FF0000"/>
        </w:rPr>
        <w:t>DISCREPANCY: Fund VII benchmark — engagement notes previously stated 61%, LPAC slide deck shows 60%. Slide deck used as authoritative source.</w:t>
      </w:r>
    </w:p>
    <w:p>
      <w:r>
        <w:rPr>
          <w:b/>
          <w:rFonts w:ascii="Calibri" w:hAnsi="Calibri"/>
          <w:sz w:val="20"/>
          <w:color w:val="FF0000"/>
        </w:rPr>
        <w:t>DISCREPANCY: MIR average — engagement notes previously stated 64%, LPAC slide deck shows 58% (note: slide MIR avg includes Funds VI, VII, VIII combined). Slide deck used as authoritative source.</w:t>
      </w:r>
    </w:p>
    <w:p>
      <w:r>
        <w:rPr>
          <w:b/>
          <w:rFonts w:ascii="Calibri" w:hAnsi="Calibri"/>
          <w:sz w:val="20"/>
          <w:color w:val="FF0000"/>
        </w:rPr>
        <w:t>DISCREPANCY: Sponsor Sierra 2023 score — notes stated 81.73%, slide shows 82% (rounding). Official scorecard figure 81.73% preserved in engagement notes; 82% used in LPAC slide for presentation rounding.</w:t>
      </w:r>
    </w:p>
    <w:p>
      <w:pPr>
        <w:pStyle w:val="Heading2"/>
      </w:pPr>
      <w:r>
        <w:t>Discrepancies</w:t>
      </w:r>
    </w:p>
    <w:p>
      <w:r>
        <w:rPr>
          <w:rFonts w:ascii="Calibri" w:hAnsi="Calibri"/>
          <w:b/>
          <w:sz w:val="20"/>
        </w:rPr>
        <w:t>The following discrepancies were identified between engagement notes and the Excel data model:</w:t>
      </w:r>
    </w:p>
    <w:p>
      <w:r>
        <w:rPr>
          <w:rFonts w:ascii="Calibri" w:hAnsi="Calibri"/>
          <w:b/>
          <w:color w:val="FF0000"/>
          <w:sz w:val="20"/>
        </w:rPr>
        <w:t>DISCREPANCY: 2022 Scorecard Total — Engagement notes/scorecard PDF say 58.57%; Excel data model says 57.31% (or NaN). Source: Sponsor Sierra ESG Scorecard 2022.pdf vs ESG_Profile_Automation_Input_v3_1. Recommend: Use official scorecard PDF (58.57%).</w:t>
      </w:r>
    </w:p>
    <w:p>
      <w:r>
        <w:rPr>
          <w:rFonts w:ascii="Calibri" w:hAnsi="Calibri"/>
          <w:b/>
          <w:color w:val="FF0000"/>
          <w:sz w:val="20"/>
        </w:rPr>
        <w:t>DISCREPANCY: Excel data model sheet 20_fact_sponsor_year — No scorecard scores populated for Sponsor Sierra/Sponsor Sierra (all NaN). Needs population from official scorecard PDFs.</w:t>
      </w:r>
    </w:p>
    <w:p>
      <w:r>
        <w:rPr>
          <w:rFonts w:ascii="Calibri" w:hAnsi="Calibri"/>
          <w:b/>
          <w:color w:val="FF0000"/>
          <w:sz w:val="20"/>
        </w:rPr>
        <w:t>DISCREPANCY: Excel data model sheet 10_bridge_fund_sponsor — Fund VII missing for Sponsor Sierra/Sponsor Sierra. Needs adding.</w:t>
      </w:r>
    </w:p>
    <w:p>
      <w:r>
        <w:rPr>
          <w:rFonts w:ascii="Calibri" w:hAnsi="Calibri"/>
          <w:b/>
          <w:color w:val="FF0000"/>
          <w:sz w:val="20"/>
        </w:rPr>
        <w:t>DISCREPANCY: Carbon Intensity Units — Changed from lb CO2/sq ft (2021-2022) to kg CO2/sq ft (2023 onward). Needs standardization across historical data.</w:t>
      </w:r>
    </w:p>
    <w:p>
      <w:pPr>
        <w:pStyle w:val="Heading2"/>
      </w:pPr>
      <w:r>
        <w:t>Current Mitigation Actions</w:t>
      </w:r>
    </w:p>
    <w:p>
      <w:pPr>
        <w:pStyle w:val="ListBullet"/>
      </w:pPr>
      <w:r>
        <w:rPr>
          <w:rFonts w:ascii="Calibri" w:hAnsi="Calibri"/>
          <w:sz w:val="20"/>
        </w:rPr>
        <w:t>Project EREB: 24.9M€ EPC upgrade program across 18 assets; targeting EPC label 'C'</w:t>
      </w:r>
    </w:p>
    <w:p>
      <w:pPr>
        <w:pStyle w:val="ListBullet"/>
      </w:pPr>
      <w:r>
        <w:rPr>
          <w:rFonts w:ascii="Calibri" w:hAnsi="Calibri"/>
          <w:sz w:val="20"/>
        </w:rPr>
        <w:t>CRREM analysis underway portfolio-wide</w:t>
      </w:r>
    </w:p>
    <w:p>
      <w:pPr>
        <w:pStyle w:val="ListBullet"/>
      </w:pPr>
      <w:r>
        <w:rPr>
          <w:rFonts w:ascii="Calibri" w:hAnsi="Calibri"/>
          <w:sz w:val="20"/>
        </w:rPr>
        <w:t>BREEAM-Use certifications via Alma for assets where EPC upgrade not financially prudent</w:t>
      </w:r>
    </w:p>
    <w:p>
      <w:pPr>
        <w:pStyle w:val="ListBullet"/>
      </w:pPr>
      <w:r>
        <w:rPr>
          <w:rFonts w:ascii="Calibri" w:hAnsi="Calibri"/>
          <w:sz w:val="20"/>
        </w:rPr>
        <w:t>First Street granular asset-level physical risk data not available (slide-level Moderate rating provided)</w:t>
      </w:r>
    </w:p>
    <w:p>
      <w:pPr>
        <w:pStyle w:val="ListBullet"/>
      </w:pPr>
      <w:r>
        <w:rPr>
          <w:rFonts w:ascii="Calibri" w:hAnsi="Calibri"/>
          <w:sz w:val="20"/>
        </w:rPr>
        <w:t>Vendor green clause in all contracts</w:t>
      </w:r>
    </w:p>
    <w:p>
      <w:pPr>
        <w:pStyle w:val="ListBullet"/>
      </w:pPr>
      <w:r>
        <w:rPr>
          <w:rFonts w:ascii="Calibri" w:hAnsi="Calibri"/>
          <w:sz w:val="20"/>
        </w:rPr>
        <w:t>Annual low-cost efficiency measures across energy, water, waste</w:t>
      </w:r>
    </w:p>
    <w:p>
      <w:pPr>
        <w:pStyle w:val="Heading2"/>
      </w:pPr>
      <w:r>
        <w:t>Outstanding Gaps</w:t>
      </w:r>
    </w:p>
    <w:p>
      <w:pPr>
        <w:pStyle w:val="ListBullet"/>
      </w:pPr>
      <w:r>
        <w:rPr>
          <w:rFonts w:ascii="Calibri" w:hAnsi="Calibri"/>
          <w:sz w:val="20"/>
        </w:rPr>
        <w:t>Net Zero Policy not yet formalized</w:t>
      </w:r>
    </w:p>
    <w:p>
      <w:pPr>
        <w:pStyle w:val="ListBullet"/>
      </w:pPr>
      <w:r>
        <w:rPr>
          <w:rFonts w:ascii="Calibri" w:hAnsi="Calibri"/>
          <w:sz w:val="20"/>
        </w:rPr>
        <w:t>No formalized green lease language</w:t>
      </w:r>
    </w:p>
    <w:p>
      <w:pPr>
        <w:pStyle w:val="ListBullet"/>
      </w:pPr>
      <w:r>
        <w:rPr>
          <w:rFonts w:ascii="Calibri" w:hAnsi="Calibri"/>
          <w:sz w:val="20"/>
        </w:rPr>
        <w:t>No climate change adaptation plan</w:t>
      </w:r>
    </w:p>
    <w:p>
      <w:pPr>
        <w:pStyle w:val="ListBullet"/>
      </w:pPr>
      <w:r>
        <w:rPr>
          <w:rFonts w:ascii="Calibri" w:hAnsi="Calibri"/>
          <w:sz w:val="20"/>
        </w:rPr>
        <w:t>0% embodied carbon consideration</w:t>
      </w:r>
    </w:p>
    <w:p>
      <w:pPr>
        <w:pStyle w:val="ListBullet"/>
      </w:pPr>
      <w:r>
        <w:rPr>
          <w:rFonts w:ascii="Calibri" w:hAnsi="Calibri"/>
          <w:sz w:val="20"/>
        </w:rPr>
        <w:t>CRREM stranding years not yet available</w:t>
      </w:r>
    </w:p>
    <w:p>
      <w:pPr>
        <w:pStyle w:val="ListBullet"/>
      </w:pPr>
      <w:r>
        <w:rPr>
          <w:rFonts w:ascii="Calibri" w:hAnsi="Calibri"/>
          <w:sz w:val="20"/>
        </w:rPr>
        <w:t>First Street physical risk data not available</w:t>
      </w:r>
    </w:p>
    <w:p>
      <w:pPr>
        <w:pStyle w:val="ListBullet"/>
      </w:pPr>
      <w:r>
        <w:rPr>
          <w:rFonts w:ascii="Calibri" w:hAnsi="Calibri"/>
          <w:sz w:val="20"/>
        </w:rPr>
        <w:t>GreenStreet sector risk data not available</w:t>
      </w:r>
    </w:p>
    <w:p>
      <w:r>
        <w:br w:type="page"/>
      </w:r>
    </w:p>
    <w:p>
      <w:pPr>
        <w:pStyle w:val="Heading1"/>
      </w:pPr>
      <w:r>
        <w:t>5. INITIATIVES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96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92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4320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1296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GRESB, GRI &amp; UN PRI reporting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Active reporting across all frameworks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Ongoing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Asset-level E/W/W/GHG tracking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All data streams tracked and reported at asset level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Ongoing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Energy data third-party assured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Third-party verified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Ongoing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Vendor Sustainability Clause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All vendor contracts include green clause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Completed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Tenant ESG resources + community programs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Full resources aligned with green building standards; formalized community programs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Ongoing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Completed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ESG Committee, Performance Reviews &amp; BCP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Senior leadership committee; ESG in performance reviews with consequences; full BCP with climate risks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8000"/>
                <w:sz w:val="18"/>
              </w:rPr>
              <w:t>Ongoing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In Progress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Project EREB — EPC upgrades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€24.9M; 18 assets; target EPC label C; 7 completing E→C, 4 starting, 9 remaining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2025-2026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In Progress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CRREM Portfolio Stranding Analysis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Portfolio-wide stranding year analysis and asset-level reduction pathways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Ongoing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In Progress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BREEAM-Use Certifications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Via consultant Alma for assets where EPC upgrade not financially prudent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Ongoing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In Progress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Gas-to-electric / aerothermal switching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Prioritizing aerothermal and façade upgrades; switching from gas to electric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Ongoing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In Progress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Net Zero Policy Development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Actively in progress — committed to developing formal policy and setting targets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TBD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In Progress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Hoop App Carpooling + EV Charger Rollout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Reducing Scope 3 emissions via carpooling; EV chargers via tenant app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CC8800"/>
                <w:sz w:val="18"/>
              </w:rPr>
              <w:t>Ongoing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color w:val="FF0000"/>
                <w:sz w:val="18"/>
              </w:rPr>
              <w:t>Planned ⚠️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8"/>
              </w:rPr>
              <w:t>Formalize Green Lease Language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color w:val="FF0000"/>
                <w:sz w:val="18"/>
              </w:rPr>
              <w:t>REGRESSION — multi-year gap; currently only informal cooperation clauses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8"/>
              </w:rPr>
              <w:t>Not set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color w:val="FF0000"/>
                <w:sz w:val="18"/>
              </w:rPr>
              <w:t>Planned ⚠️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8"/>
              </w:rPr>
              <w:t>Climate Change Adaptation Plan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color w:val="FF0000"/>
                <w:sz w:val="18"/>
              </w:rPr>
              <w:t>REGRESSION — multi-year gap; currently only ad hoc risk assessments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8"/>
              </w:rPr>
              <w:t>Not set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color w:val="FF0000"/>
                <w:sz w:val="18"/>
              </w:rPr>
              <w:t>Planned ⚠️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8"/>
              </w:rPr>
              <w:t>Embodied Carbon Integration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color w:val="FF0000"/>
                <w:sz w:val="18"/>
              </w:rPr>
              <w:t>REGRESSION — 0% of assets; needs integration into renovation process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8"/>
              </w:rPr>
              <w:t>Not set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8"/>
              </w:rPr>
              <w:t>Planned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8"/>
              </w:rPr>
              <w:t>Water &amp; Waste Plan Expansion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8"/>
              </w:rPr>
              <w:t>Currently 50-75% of portfolio — target 75-100%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8"/>
              </w:rPr>
              <w:t>Not set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color w:val="FF0000"/>
                <w:sz w:val="18"/>
              </w:rPr>
              <w:t>Planned ⚠️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8"/>
              </w:rPr>
              <w:t>Formalize Employee Engagement Program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color w:val="FF0000"/>
                <w:sz w:val="18"/>
              </w:rPr>
              <w:t>REGRESSION — informal only; no consistent engagement or goals set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8"/>
              </w:rPr>
              <w:t>Not set</w:t>
            </w:r>
          </w:p>
        </w:tc>
      </w:tr>
    </w:tbl>
    <w:p>
      <w:r>
        <w:br w:type="page"/>
      </w:r>
    </w:p>
    <w:p>
      <w:pPr>
        <w:pStyle w:val="Heading1"/>
      </w:pPr>
      <w:r>
        <w:t>6. GOVERNANCE</w:t>
      </w:r>
    </w:p>
    <w:p>
      <w:pPr>
        <w:pStyle w:val="Heading2"/>
      </w:pPr>
      <w:r>
        <w:t>ESG Approval Rights</w:t>
      </w:r>
    </w:p>
    <w:p>
      <w:r>
        <w:rPr>
          <w:rFonts w:ascii="Calibri" w:hAnsi="Calibri"/>
          <w:b/>
          <w:sz w:val="20"/>
        </w:rPr>
        <w:t>From meeting notes: "JV/Fund rights: no control/approval rights"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Approval Right</w:t>
            </w:r>
          </w:p>
        </w:tc>
        <w:tc>
          <w:tcPr>
            <w:tcW w:type="dxa" w:w="5760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Annual Budget Approval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Not provided (no JV control rights)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Leasing Approval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Not provided (no JV control rights)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Capex Project Variance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Not provided (no JV control rights)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Contractor Engagement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000000"/>
                <w:sz w:val="18"/>
              </w:rPr>
              <w:t>Not provided (no JV control rights)</w:t>
            </w:r>
          </w:p>
        </w:tc>
      </w:tr>
    </w:tbl>
    <w:p/>
    <w:p>
      <w:pPr>
        <w:pStyle w:val="Heading2"/>
      </w:pPr>
      <w:r>
        <w:t>ESG Oversight Structure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ESG Lead: </w:t>
      </w:r>
      <w:r>
        <w:rPr>
          <w:rFonts w:ascii="Calibri" w:hAnsi="Calibri"/>
          <w:sz w:val="20"/>
        </w:rPr>
        <w:t>the ESG Lead, Head of Compliance, Risk Management and Sustainability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ESG Responsible Person: </w:t>
      </w:r>
      <w:r>
        <w:rPr>
          <w:rFonts w:ascii="Calibri" w:hAnsi="Calibri"/>
          <w:sz w:val="20"/>
        </w:rPr>
        <w:t>Employee(s) for whom ESG is among their responsibilities, at senior leadership level (C-Suite / senior management)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ESG Task Force/Committee: </w:t>
      </w:r>
      <w:r>
        <w:rPr>
          <w:rFonts w:ascii="Calibri" w:hAnsi="Calibri"/>
          <w:sz w:val="20"/>
        </w:rPr>
        <w:t>Yes — containing senior leadership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ESG in Performance Reviews: </w:t>
      </w:r>
      <w:r>
        <w:rPr>
          <w:rFonts w:ascii="Calibri" w:hAnsi="Calibri"/>
          <w:sz w:val="20"/>
        </w:rPr>
        <w:t>Yes — with set financial or non-financial consequences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ESG During Acquisitions: </w:t>
      </w:r>
      <w:r>
        <w:rPr>
          <w:rFonts w:ascii="Calibri" w:hAnsi="Calibri"/>
          <w:sz w:val="20"/>
        </w:rPr>
        <w:t>Regularly review identified opportunities and risks during acquisitions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ESG Misconduct: </w:t>
      </w:r>
      <w:r>
        <w:rPr>
          <w:rFonts w:ascii="Calibri" w:hAnsi="Calibri"/>
          <w:sz w:val="20"/>
        </w:rPr>
        <w:t>No ESG misconduct or grievances in past 3 years</w:t>
      </w:r>
    </w:p>
    <w:p>
      <w:pPr>
        <w:pStyle w:val="Heading2"/>
      </w:pPr>
      <w:r>
        <w:t>Reporting Cadence &amp; Frameworks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Frameworks: </w:t>
      </w:r>
      <w:r>
        <w:rPr>
          <w:rFonts w:ascii="Calibri" w:hAnsi="Calibri"/>
          <w:sz w:val="20"/>
        </w:rPr>
        <w:t>GRESB, TCFD, GRI, UN PRI, UN SDGs (3 or more)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Reporting Cadence: </w:t>
      </w:r>
      <w:r>
        <w:rPr>
          <w:rFonts w:ascii="Calibri" w:hAnsi="Calibri"/>
          <w:sz w:val="20"/>
        </w:rPr>
        <w:t>Annual standalone ESG report; formal annual policy review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UNGC Compliance: </w:t>
      </w:r>
      <w:r>
        <w:rPr>
          <w:rFonts w:ascii="Calibri" w:hAnsi="Calibri"/>
          <w:sz w:val="20"/>
        </w:rPr>
        <w:t>Yes — UNGC 10th principle (anti-bribery/corruption)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Labor Relations: </w:t>
      </w:r>
      <w:r>
        <w:rPr>
          <w:rFonts w:ascii="Calibri" w:hAnsi="Calibri"/>
          <w:sz w:val="20"/>
        </w:rPr>
        <w:t>Yes — UNGC 3rd principle (labor relations)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Violations: </w:t>
      </w:r>
      <w:r>
        <w:rPr>
          <w:rFonts w:ascii="Calibri" w:hAnsi="Calibri"/>
          <w:sz w:val="20"/>
        </w:rPr>
        <w:t>No UNGC/OECD violations in past 3 years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Audited Financial Statements: </w:t>
      </w:r>
      <w:r>
        <w:rPr>
          <w:rFonts w:ascii="Calibri" w:hAnsi="Calibri"/>
          <w:sz w:val="20"/>
        </w:rPr>
        <w:t>Yes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Independent Board Member: </w:t>
      </w:r>
      <w:r>
        <w:rPr>
          <w:rFonts w:ascii="Calibri" w:hAnsi="Calibri"/>
          <w:sz w:val="20"/>
        </w:rPr>
        <w:t>Yes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Grievance/Whistleblower Procedures: </w:t>
      </w:r>
      <w:r>
        <w:rPr>
          <w:rFonts w:ascii="Calibri" w:hAnsi="Calibri"/>
          <w:sz w:val="20"/>
        </w:rPr>
        <w:t>Yes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Remuneration Policy: </w:t>
      </w:r>
      <w:r>
        <w:rPr>
          <w:rFonts w:ascii="Calibri" w:hAnsi="Calibri"/>
          <w:sz w:val="20"/>
        </w:rPr>
        <w:t>Yes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Tax Policy: </w:t>
      </w:r>
      <w:r>
        <w:rPr>
          <w:rFonts w:ascii="Calibri" w:hAnsi="Calibri"/>
          <w:sz w:val="20"/>
        </w:rPr>
        <w:t>Yes (OECD BEPS)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Tax Controversies: </w:t>
      </w:r>
      <w:r>
        <w:rPr>
          <w:rFonts w:ascii="Calibri" w:hAnsi="Calibri"/>
          <w:sz w:val="20"/>
        </w:rPr>
        <w:t>No significant tax/accounting controversies</w:t>
      </w:r>
    </w:p>
    <w:p>
      <w:r>
        <w:br w:type="page"/>
      </w:r>
    </w:p>
    <w:p>
      <w:pPr>
        <w:pStyle w:val="Heading1"/>
      </w:pPr>
      <w:r>
        <w:t>7. RAW NOTES ARCHIVE</w:t>
      </w:r>
    </w:p>
    <w:p>
      <w:r>
        <w:rPr>
          <w:rFonts w:ascii="Calibri" w:hAnsi="Calibri"/>
          <w:b/>
          <w:sz w:val="20"/>
        </w:rPr>
        <w:t>This section preserves verbatim notes and source attribution for all sections above.</w:t>
      </w:r>
    </w:p>
    <w:p>
      <w:pPr>
        <w:pStyle w:val="Heading2"/>
      </w:pPr>
      <w:r>
        <w:t>Source Attribution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600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Primary Source(s)</w:t>
            </w:r>
          </w:p>
        </w:tc>
        <w:tc>
          <w:tcPr>
            <w:tcW w:type="dxa" w:w="3600"/>
            <w:shd w:fill="18334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Supplementary Source(s)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18"/>
              </w:rPr>
              <w:t>1. Sponsor Overview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2025 Questionnaire Response; Official scorecard PDFs (2021-2024)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Summary Sheet - Sponsor Sierra.docx; Sponsor Sierra Meeting Notes.docx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18"/>
              </w:rPr>
              <w:t>2. Engagement History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2025 Questionnaire Response; Official scorecard PDFs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Sponsor Sierra Meeting Notes.docx; Summary Sheet - Sponsor Sierra.docx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18"/>
              </w:rPr>
              <w:t>3. Current ESG Status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2025 Questionnaire Response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ESG_Profile_Automation_Input_v3_1 (cross-reference); LPAC Slide Deck 2025 (benchmarks)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18"/>
              </w:rPr>
              <w:t>4. Key Risks &amp; Mitigation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2025 Questionnaire Response; Sponsor Sierra Meeting Notes.docx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ESG_Profile_Automation_Input_v3_1 (discrepancy check); LPAC Slide Deck 2025 (physical risk, benchmarks)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18"/>
              </w:rPr>
              <w:t>5. Initiatives Tracker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2025 Questionnaire Response; Sponsor Sierra Meeting Notes.docx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Summary Sheet - Sponsor Sierra.docx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18"/>
              </w:rPr>
              <w:t>6. Governance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2025 Questionnaire Response; Sponsor Sierra Meeting Notes.docx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color w:val="00000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2025 Questionnaire — Key Verbatim Responses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Environmental Policy Coverage: </w:t>
      </w:r>
      <w:r>
        <w:rPr>
          <w:rFonts w:ascii="Calibri" w:hAnsi="Calibri"/>
          <w:sz w:val="18"/>
        </w:rPr>
        <w:t>Climate change, GHG emissions, Energy consumption, Material use, Waste management, Water management, Renewable energy, Sustainable procurement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Social Policy: </w:t>
      </w:r>
      <w:r>
        <w:rPr>
          <w:rFonts w:ascii="Calibri" w:hAnsi="Calibri"/>
          <w:sz w:val="18"/>
        </w:rPr>
        <w:t>Yes — Health &amp; safety, Community development &amp; outreach, Inclusion &amp; diversity (employee DEI training), Labor standards, Stakeholder relations, Human rights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Governance Policy: </w:t>
      </w:r>
      <w:r>
        <w:rPr>
          <w:rFonts w:ascii="Calibri" w:hAnsi="Calibri"/>
          <w:sz w:val="18"/>
        </w:rPr>
        <w:t>Yes — Bribery &amp; corruption, Executive compensation, Fraud, Political contributions, Ethics, Shareholder rights, Disaster recovery, Vendor Conduct, Cybersecurity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ESG Frameworks: </w:t>
      </w:r>
      <w:r>
        <w:rPr>
          <w:rFonts w:ascii="Calibri" w:hAnsi="Calibri"/>
          <w:sz w:val="18"/>
        </w:rPr>
        <w:t>GRESB, TCFD, GRI, UN PRI, UN SDGs (3 or more)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Environmental Goals: </w:t>
      </w:r>
      <w:r>
        <w:rPr>
          <w:rFonts w:ascii="Calibri" w:hAnsi="Calibri"/>
          <w:sz w:val="18"/>
        </w:rPr>
        <w:t>Yes, with specific metrics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Social/Engagement Goals: </w:t>
      </w:r>
      <w:r>
        <w:rPr>
          <w:rFonts w:ascii="Calibri" w:hAnsi="Calibri"/>
          <w:sz w:val="18"/>
        </w:rPr>
        <w:t>Yes, with specific metrics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Governance Goals: </w:t>
      </w:r>
      <w:r>
        <w:rPr>
          <w:rFonts w:ascii="Calibri" w:hAnsi="Calibri"/>
          <w:sz w:val="18"/>
        </w:rPr>
        <w:t>Yes, with specific metrics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DEI Objectives: </w:t>
      </w:r>
      <w:r>
        <w:rPr>
          <w:rFonts w:ascii="Calibri" w:hAnsi="Calibri"/>
          <w:sz w:val="18"/>
        </w:rPr>
        <w:t>Yes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ESG Disclosure: </w:t>
      </w:r>
      <w:r>
        <w:rPr>
          <w:rFonts w:ascii="Calibri" w:hAnsi="Calibri"/>
          <w:sz w:val="18"/>
        </w:rPr>
        <w:t>Yes — dedicated standalone ESG report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Policy Review: </w:t>
      </w:r>
      <w:r>
        <w:rPr>
          <w:rFonts w:ascii="Calibri" w:hAnsi="Calibri"/>
          <w:sz w:val="18"/>
        </w:rPr>
        <w:t>Yes, formal annual review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BCP with Climate Risks: </w:t>
      </w:r>
      <w:r>
        <w:rPr>
          <w:rFonts w:ascii="Calibri" w:hAnsi="Calibri"/>
          <w:sz w:val="18"/>
        </w:rPr>
        <w:t>Yes, full BCP with climate risks and resilience in full scope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Net Zero Policy: </w:t>
      </w:r>
      <w:r>
        <w:rPr>
          <w:rFonts w:ascii="Calibri" w:hAnsi="Calibri"/>
          <w:sz w:val="18"/>
        </w:rPr>
        <w:t>In the process of developing a Net Zero Policy and setting targets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ESG Responsible Person: </w:t>
      </w:r>
      <w:r>
        <w:rPr>
          <w:rFonts w:ascii="Calibri" w:hAnsi="Calibri"/>
          <w:sz w:val="18"/>
        </w:rPr>
        <w:t>Yes — employee(s) for whom ESG is among their responsibilities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Seniority: </w:t>
      </w:r>
      <w:r>
        <w:rPr>
          <w:rFonts w:ascii="Calibri" w:hAnsi="Calibri"/>
          <w:sz w:val="18"/>
        </w:rPr>
        <w:t>Senior leadership level (C-Suite / senior management)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ESG During Acquisitions: </w:t>
      </w:r>
      <w:r>
        <w:rPr>
          <w:rFonts w:ascii="Calibri" w:hAnsi="Calibri"/>
          <w:sz w:val="18"/>
        </w:rPr>
        <w:t>Regularly review identified opportunities and risks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ESG Task Force/Committee: </w:t>
      </w:r>
      <w:r>
        <w:rPr>
          <w:rFonts w:ascii="Calibri" w:hAnsi="Calibri"/>
          <w:sz w:val="18"/>
        </w:rPr>
        <w:t>Yes, containing senior leadership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ESG in Performance Reviews: </w:t>
      </w:r>
      <w:r>
        <w:rPr>
          <w:rFonts w:ascii="Calibri" w:hAnsi="Calibri"/>
          <w:sz w:val="18"/>
        </w:rPr>
        <w:t>Yes, with set financial or non-financial consequences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Employee Engagement Program: </w:t>
      </w:r>
      <w:r>
        <w:rPr>
          <w:rFonts w:ascii="Calibri" w:hAnsi="Calibri"/>
          <w:sz w:val="18"/>
        </w:rPr>
        <w:t>Yes, informal — no consistent engagement or goals set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Employee Wellness Program: </w:t>
      </w:r>
      <w:r>
        <w:rPr>
          <w:rFonts w:ascii="Calibri" w:hAnsi="Calibri"/>
          <w:sz w:val="18"/>
        </w:rPr>
        <w:t>Somewhat — in place but room for improvement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Community Engagement: </w:t>
      </w:r>
      <w:r>
        <w:rPr>
          <w:rFonts w:ascii="Calibri" w:hAnsi="Calibri"/>
          <w:sz w:val="18"/>
        </w:rPr>
        <w:t>Yes — several formalized programs, regular charity drives, philanthropy requirements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ESG Misconduct (last 3 years): </w:t>
      </w:r>
      <w:r>
        <w:rPr>
          <w:rFonts w:ascii="Calibri" w:hAnsi="Calibri"/>
          <w:sz w:val="18"/>
        </w:rPr>
        <w:t>No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Socio-economic Impact Monitoring: </w:t>
      </w:r>
      <w:r>
        <w:rPr>
          <w:rFonts w:ascii="Calibri" w:hAnsi="Calibri"/>
          <w:sz w:val="18"/>
        </w:rPr>
        <w:t>Yes — Housing affordability, Livability score, Local income generated, Local residents' wellbeing, Impact on crime levels, Walkability score, Others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Tenant Manual: </w:t>
      </w:r>
      <w:r>
        <w:rPr>
          <w:rFonts w:ascii="Calibri" w:hAnsi="Calibri"/>
          <w:sz w:val="18"/>
        </w:rPr>
        <w:t>Yes — full resources available aligned with LEED or other green building standard(s)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Risk Assessments/Audits: </w:t>
      </w:r>
      <w:r>
        <w:rPr>
          <w:rFonts w:ascii="Calibri" w:hAnsi="Calibri"/>
          <w:sz w:val="18"/>
        </w:rPr>
        <w:t>Review process in place, but assessments completed on as-needed basis or only during full vacancy; covers identified transition risks (energy, water, waste audit)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Insurance Claims (environmental): </w:t>
      </w:r>
      <w:r>
        <w:rPr>
          <w:rFonts w:ascii="Calibri" w:hAnsi="Calibri"/>
          <w:sz w:val="18"/>
        </w:rPr>
        <w:t>No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Insurance Premium Increases (environmental): </w:t>
      </w:r>
      <w:r>
        <w:rPr>
          <w:rFonts w:ascii="Calibri" w:hAnsi="Calibri"/>
          <w:sz w:val="18"/>
        </w:rPr>
        <w:t>No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Green Leases: </w:t>
      </w:r>
      <w:r>
        <w:rPr>
          <w:rFonts w:ascii="Calibri" w:hAnsi="Calibri"/>
          <w:sz w:val="18"/>
        </w:rPr>
        <w:t>Clauses within form lease pertaining to green performance for majority of assets, but no formalized green lease language. Clauses include: Cooperation and work clauses (environmental initiatives, enabling upgrade works, ESG management collaboration, premises design for performance)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Low-cost Efficiency Measures: </w:t>
      </w:r>
      <w:r>
        <w:rPr>
          <w:rFonts w:ascii="Calibri" w:hAnsi="Calibri"/>
          <w:sz w:val="18"/>
        </w:rPr>
        <w:t>Yes, across portfolio on annual basis — Energy, Water, Waste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Embodied Carbon: </w:t>
      </w:r>
      <w:r>
        <w:rPr>
          <w:rFonts w:ascii="Calibri" w:hAnsi="Calibri"/>
          <w:sz w:val="18"/>
        </w:rPr>
        <w:t>0% of assets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Energy Reduction Mgmt Plan: </w:t>
      </w:r>
      <w:r>
        <w:rPr>
          <w:rFonts w:ascii="Calibri" w:hAnsi="Calibri"/>
          <w:sz w:val="18"/>
        </w:rPr>
        <w:t>75-100% of assets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Water Reduction Mgmt Plan: </w:t>
      </w:r>
      <w:r>
        <w:rPr>
          <w:rFonts w:ascii="Calibri" w:hAnsi="Calibri"/>
          <w:sz w:val="18"/>
        </w:rPr>
        <w:t>50-75% of assets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Waste Reduction Mgmt Plan: </w:t>
      </w:r>
      <w:r>
        <w:rPr>
          <w:rFonts w:ascii="Calibri" w:hAnsi="Calibri"/>
          <w:sz w:val="18"/>
        </w:rPr>
        <w:t>50-75% of assets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Climate Change Adaptation Plan: </w:t>
      </w:r>
      <w:r>
        <w:rPr>
          <w:rFonts w:ascii="Calibri" w:hAnsi="Calibri"/>
          <w:sz w:val="18"/>
        </w:rPr>
        <w:t>No, but assesses for climate-related risks on a regular basis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Energy Procured by Landlord: </w:t>
      </w:r>
      <w:r>
        <w:rPr>
          <w:rFonts w:ascii="Calibri" w:hAnsi="Calibri"/>
          <w:sz w:val="18"/>
        </w:rPr>
        <w:t>No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EPC/ENERGY STAR Benchmarking: </w:t>
      </w:r>
      <w:r>
        <w:rPr>
          <w:rFonts w:ascii="Calibri" w:hAnsi="Calibri"/>
          <w:sz w:val="18"/>
        </w:rPr>
        <w:t>75-100% of assets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Green Building Certifications: </w:t>
      </w:r>
      <w:r>
        <w:rPr>
          <w:rFonts w:ascii="Calibri" w:hAnsi="Calibri"/>
          <w:sz w:val="18"/>
        </w:rPr>
        <w:t>75-100% of assets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Energy Tracking: </w:t>
      </w:r>
      <w:r>
        <w:rPr>
          <w:rFonts w:ascii="Calibri" w:hAnsi="Calibri"/>
          <w:sz w:val="18"/>
        </w:rPr>
        <w:t>Yes, asset-level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Energy Data Third-party Assured: </w:t>
      </w:r>
      <w:r>
        <w:rPr>
          <w:rFonts w:ascii="Calibri" w:hAnsi="Calibri"/>
          <w:sz w:val="18"/>
        </w:rPr>
        <w:t>Yes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Water Tracking: </w:t>
      </w:r>
      <w:r>
        <w:rPr>
          <w:rFonts w:ascii="Calibri" w:hAnsi="Calibri"/>
          <w:sz w:val="18"/>
        </w:rPr>
        <w:t>Yes, asset-level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Waste Tracking: </w:t>
      </w:r>
      <w:r>
        <w:rPr>
          <w:rFonts w:ascii="Calibri" w:hAnsi="Calibri"/>
          <w:sz w:val="18"/>
        </w:rPr>
        <w:t>Yes, asset-level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GHG Emissions Tracking: </w:t>
      </w:r>
      <w:r>
        <w:rPr>
          <w:rFonts w:ascii="Calibri" w:hAnsi="Calibri"/>
          <w:sz w:val="18"/>
        </w:rPr>
        <w:t>Yes, asset-level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Capex Tracking for Energy Efficiency: </w:t>
      </w:r>
      <w:r>
        <w:rPr>
          <w:rFonts w:ascii="Calibri" w:hAnsi="Calibri"/>
          <w:sz w:val="18"/>
        </w:rPr>
        <w:t>Yes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Sustainability Capex: </w:t>
      </w:r>
      <w:r>
        <w:rPr>
          <w:rFonts w:ascii="Calibri" w:hAnsi="Calibri"/>
          <w:sz w:val="18"/>
        </w:rPr>
        <w:t>5.7M€ approx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DEI Metrics Tracking: </w:t>
      </w:r>
      <w:r>
        <w:rPr>
          <w:rFonts w:ascii="Calibri" w:hAnsi="Calibri"/>
          <w:sz w:val="18"/>
        </w:rPr>
        <w:t>Yes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UNGC 10th Principle: </w:t>
      </w:r>
      <w:r>
        <w:rPr>
          <w:rFonts w:ascii="Calibri" w:hAnsi="Calibri"/>
          <w:sz w:val="18"/>
        </w:rPr>
        <w:t>Yes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UNGC/OECD Violations: </w:t>
      </w:r>
      <w:r>
        <w:rPr>
          <w:rFonts w:ascii="Calibri" w:hAnsi="Calibri"/>
          <w:sz w:val="18"/>
        </w:rPr>
        <w:t>No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Audited Financial Statements: </w:t>
      </w:r>
      <w:r>
        <w:rPr>
          <w:rFonts w:ascii="Calibri" w:hAnsi="Calibri"/>
          <w:sz w:val="18"/>
        </w:rPr>
        <w:t>Yes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Independent Board Member: </w:t>
      </w:r>
      <w:r>
        <w:rPr>
          <w:rFonts w:ascii="Calibri" w:hAnsi="Calibri"/>
          <w:sz w:val="18"/>
        </w:rPr>
        <w:t>Yes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Grievance/Whistleblower Procedures: </w:t>
      </w:r>
      <w:r>
        <w:rPr>
          <w:rFonts w:ascii="Calibri" w:hAnsi="Calibri"/>
          <w:sz w:val="18"/>
        </w:rPr>
        <w:t>Yes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UNGC 3rd Principle: </w:t>
      </w:r>
      <w:r>
        <w:rPr>
          <w:rFonts w:ascii="Calibri" w:hAnsi="Calibri"/>
          <w:sz w:val="18"/>
        </w:rPr>
        <w:t>Yes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Remuneration Policy: </w:t>
      </w:r>
      <w:r>
        <w:rPr>
          <w:rFonts w:ascii="Calibri" w:hAnsi="Calibri"/>
          <w:sz w:val="18"/>
        </w:rPr>
        <w:t>Yes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Tax Policy (OECD BEPS): </w:t>
      </w:r>
      <w:r>
        <w:rPr>
          <w:rFonts w:ascii="Calibri" w:hAnsi="Calibri"/>
          <w:sz w:val="18"/>
        </w:rPr>
        <w:t>Yes</w:t>
      </w:r>
    </w:p>
    <w:p>
      <w:pPr>
        <w:pStyle w:val="ListBullet"/>
      </w:pPr>
      <w:r>
        <w:rPr>
          <w:rFonts w:ascii="Calibri" w:hAnsi="Calibri"/>
          <w:b/>
          <w:sz w:val="18"/>
        </w:rPr>
        <w:t xml:space="preserve">Tax/Accounting Controversies: </w:t>
      </w:r>
      <w:r>
        <w:rPr>
          <w:rFonts w:ascii="Calibri" w:hAnsi="Calibri"/>
          <w:sz w:val="18"/>
        </w:rPr>
        <w:t>No</w:t>
      </w:r>
    </w:p>
    <w:p>
      <w:r>
        <w:rPr>
          <w:i/>
          <w:rFonts w:ascii="Calibri" w:hAnsi="Calibri"/>
          <w:sz w:val="16"/>
          <w:color w:val="666666"/>
        </w:rPr>
        <w:t>Sources: 2025 Sponsor Sierra ESG Questionnaire Response (1/26/2026); engagement notes updated 7/7/2026; historical scores — official scorecards; Fund VII / MIR benchmarks — Excel summaries and LPAC slide deck (2025).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33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33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8334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