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Madison</w:t>
      </w:r>
    </w:p>
    <w:p>
      <w:r>
        <w:t>ESG Engagement Notes</w:t>
      </w:r>
    </w:p>
    <w:p>
      <w:r>
        <w:t>Last Updated: 3 July 2026</w:t>
      </w:r>
    </w:p>
    <w:p>
      <w:r>
        <w:t>Funds: Fund IV (active)</w:t>
      </w:r>
    </w:p>
    <w:p>
      <w:r>
        <w:t>Asset Class: Residential / Build-to-Rent (BTR), US Sunbelt</w:t>
      </w:r>
    </w:p>
    <w:p>
      <w:r>
        <w:t>Investment Vehicle: Madison</w:t>
      </w:r>
    </w:p>
    <w:p>
      <w:r>
        <w:t>ESG Contact: the ESG Contact, Portfolio Manager (esg-contact@madison.example)</w:t>
      </w:r>
    </w:p>
    <w:p>
      <w:r>
        <w:t>ESG Sustainability Lead: the ESG Lead, Head of Sustainability &amp; Compliance (esg-lead@madison.example)</w:t>
      </w:r>
    </w:p>
    <w:p>
      <w:pPr>
        <w:pStyle w:val="Heading1"/>
      </w:pPr>
      <w:r>
        <w:t>1. SPONSOR OVERVIEW</w:t>
      </w:r>
    </w:p>
    <w:p>
      <w:pPr>
        <w:pStyle w:val="ListBullet"/>
      </w:pPr>
      <w:r>
        <w:t>Asset Class: Residential / Build-to-Rent (BTR)</w:t>
      </w:r>
    </w:p>
    <w:p>
      <w:pPr>
        <w:pStyle w:val="ListBullet"/>
      </w:pPr>
      <w:r>
        <w:t>Location: US Sunbelt (multi-market)</w:t>
      </w:r>
    </w:p>
    <w:p>
      <w:pPr>
        <w:pStyle w:val="ListBullet"/>
      </w:pPr>
      <w:r>
        <w:t>Investment Vehicle: Madison</w:t>
      </w:r>
    </w:p>
    <w:p>
      <w:pPr>
        <w:pStyle w:val="ListBullet"/>
      </w:pPr>
      <w:r>
        <w:t>ESG Contact: the ESG Contact, Portfolio Manager</w:t>
      </w:r>
    </w:p>
    <w:p>
      <w:pPr>
        <w:pStyle w:val="ListBullet"/>
      </w:pPr>
      <w:r>
        <w:t>ESG Sustainability Lead: the ESG Lead, Head of Sustainability &amp; Compliance</w:t>
      </w:r>
    </w:p>
    <w:p>
      <w:pPr>
        <w:pStyle w:val="ListBullet"/>
      </w:pPr>
      <w:r>
        <w:t>Current ESG Scorecard Score: 80.60% (2025 performance year) — source: 2025 Questionnaire Response (Jan 2026)</w:t>
      </w:r>
    </w:p>
    <w:p>
      <w:pPr>
        <w:pStyle w:val="ListBullet"/>
      </w:pPr>
      <w:r>
        <w:t>Score Trend: 41.2% (2021) → 55.8% (2022) → 68.4% (2023) → 76.1% (2024) → 80.6% (2025) — strong upward trajectory</w:t>
      </w:r>
    </w:p>
    <w:p>
      <w:pPr>
        <w:pStyle w:val="ListBullet"/>
      </w:pPr>
      <w:r>
        <w:t>Fund Status: Fund IV remains active</w:t>
      </w:r>
    </w:p>
    <w:p>
      <w:pPr>
        <w:pStyle w:val="Heading2"/>
      </w:pPr>
      <w:r>
        <w:t>Scorecard History</w:t>
      </w:r>
    </w:p>
    <w:p>
      <w:pPr>
        <w:pStyle w:val="Heading1"/>
      </w:pPr>
      <w:r>
        <w:t>2. ENGAGEMENT HISTORY</w:t>
      </w:r>
    </w:p>
    <w:p>
      <w:r>
        <w:t>(Reverse chronological order)</w:t>
      </w:r>
    </w:p>
    <w:p>
      <w:pPr>
        <w:pStyle w:val="Heading2"/>
      </w:pPr>
      <w:r>
        <w:t>2025 — Annual ESG Questionnaire Review</w:t>
      </w:r>
    </w:p>
    <w:p>
      <w:pPr>
        <w:pStyle w:val="ListBullet"/>
      </w:pPr>
      <w:r>
        <w:t>Submission Date: January 2026 (covering 2025 performance year)</w:t>
      </w:r>
    </w:p>
    <w:p>
      <w:pPr>
        <w:pStyle w:val="ListBullet"/>
      </w:pPr>
      <w:r>
        <w:t>Respondent: the ESG Contact, Portfolio Manager</w:t>
      </w:r>
    </w:p>
    <w:p>
      <w:pPr>
        <w:pStyle w:val="ListBullet"/>
      </w:pPr>
      <w:r>
        <w:t>Total Score: 80.60% (up from 76.10% in 2024)</w:t>
      </w:r>
    </w:p>
    <w:p>
      <w:r>
        <w:t>Key Discussion Points / Responses:</w:t>
      </w:r>
    </w:p>
    <w:p>
      <w:pPr>
        <w:pStyle w:val="ListBullet"/>
      </w:pPr>
      <w:r>
        <w:t>Monitoring &amp; Reporting reached 91.00%</w:t>
      </w:r>
    </w:p>
    <w:p>
      <w:pPr>
        <w:pStyle w:val="ListBullet"/>
      </w:pPr>
      <w:r>
        <w:t>Governance &amp; Resourcing improved to 62.30% (up from 55.60%)</w:t>
      </w:r>
    </w:p>
    <w:p>
      <w:pPr>
        <w:pStyle w:val="ListBullet"/>
      </w:pPr>
      <w:r>
        <w:t>Policy &amp; Strategy at 88.50%; Portfolio Management at 79.60%</w:t>
      </w:r>
    </w:p>
    <w:p>
      <w:pPr>
        <w:pStyle w:val="ListBullet"/>
      </w:pPr>
      <w:r>
        <w:t>Net Zero Policy: Still in development — no formal commitment yet</w:t>
      </w:r>
    </w:p>
    <w:p>
      <w:pPr>
        <w:pStyle w:val="ListBullet"/>
      </w:pPr>
      <w:r>
        <w:t>Sustainability Capex: ~$1.7M approx (most recent calendar year, across BPS audit + solar feasibility)</w:t>
      </w:r>
    </w:p>
    <w:p>
      <w:pPr>
        <w:pStyle w:val="ListBullet"/>
      </w:pPr>
      <w:r>
        <w:t>Green building certifications: 50-75% of portfolio</w:t>
      </w:r>
    </w:p>
    <w:p>
      <w:pPr>
        <w:pStyle w:val="ListBullet"/>
      </w:pPr>
      <w:r>
        <w:t>BPS benchmarking: 50-75% of portfolio</w:t>
      </w:r>
    </w:p>
    <w:p>
      <w:pPr>
        <w:pStyle w:val="ListBullet"/>
      </w:pPr>
      <w:r>
        <w:t>All data streams (energy, water, waste, GHG) tracked and reported at asset level</w:t>
      </w:r>
    </w:p>
    <w:p>
      <w:pPr>
        <w:pStyle w:val="ListBullet"/>
      </w:pPr>
      <w:r>
        <w:t>Energy data third-party assured</w:t>
      </w:r>
    </w:p>
    <w:p>
      <w:pPr>
        <w:pStyle w:val="ListBullet"/>
      </w:pPr>
      <w:r>
        <w:t>Environmental policy covers: Climate change, GHG emissions, Energy consumption, Water management, Waste management, Renewable energy</w:t>
      </w:r>
    </w:p>
    <w:p>
      <w:pPr>
        <w:pStyle w:val="ListBullet"/>
      </w:pPr>
      <w:r>
        <w:t>Social policy: Health &amp; safety, Community development, Inclusion &amp; diversity (employee DEI training), Labor standards, Resident relations</w:t>
      </w:r>
    </w:p>
    <w:p>
      <w:pPr>
        <w:pStyle w:val="ListBullet"/>
      </w:pPr>
      <w:r>
        <w:t>Governance policy: Bribery &amp; corruption, Executive compensation, Fraud, Ethics, Shareholder rights, Disaster recovery, Vendor code of conduct</w:t>
      </w:r>
    </w:p>
    <w:p>
      <w:pPr>
        <w:pStyle w:val="ListBullet"/>
      </w:pPr>
      <w:r>
        <w:t>ESG frameworks: GRESB, TCFD, GRI, UN PRI, UN SDGs (3 or more)</w:t>
      </w:r>
    </w:p>
    <w:p>
      <w:pPr>
        <w:pStyle w:val="ListBullet"/>
      </w:pPr>
      <w:r>
        <w:t>BCP with climate risks: Full BCP with climate risks and resilience in full scope</w:t>
      </w:r>
    </w:p>
    <w:p>
      <w:pPr>
        <w:pStyle w:val="ListBullet"/>
      </w:pPr>
      <w:r>
        <w:t>Green leases: Informal cooperation clauses only — no formalized green lease language</w:t>
      </w:r>
    </w:p>
    <w:p>
      <w:pPr>
        <w:pStyle w:val="ListBullet"/>
      </w:pPr>
      <w:r>
        <w:t>Energy Reduction Management plan: 50-75% of assets</w:t>
      </w:r>
    </w:p>
    <w:p>
      <w:pPr>
        <w:pStyle w:val="ListBullet"/>
      </w:pPr>
      <w:r>
        <w:t>Water Reduction Management plan: 25-50% of assets</w:t>
      </w:r>
    </w:p>
    <w:p>
      <w:pPr>
        <w:pStyle w:val="ListBullet"/>
      </w:pPr>
      <w:r>
        <w:t>Waste Reduction Management plan: 25-50% of assets</w:t>
      </w:r>
    </w:p>
    <w:p>
      <w:pPr>
        <w:pStyle w:val="ListBullet"/>
      </w:pPr>
      <w:r>
        <w:t>Embodied carbon consideration: 0% of assets</w:t>
      </w:r>
    </w:p>
    <w:p>
      <w:pPr>
        <w:pStyle w:val="ListBullet"/>
      </w:pPr>
      <w:r>
        <w:t>Climate change adaptation plan: No formal plan — assesses for climate-related risks on regular basis</w:t>
      </w:r>
    </w:p>
    <w:p>
      <w:pPr>
        <w:pStyle w:val="Heading2"/>
      </w:pPr>
      <w:r>
        <w:t>2024 — Annual ESG Review Call</w:t>
      </w:r>
    </w:p>
    <w:p>
      <w:pPr>
        <w:pStyle w:val="ListBullet"/>
      </w:pPr>
      <w:r>
        <w:t>Score: 76.10%</w:t>
      </w:r>
    </w:p>
    <w:p>
      <w:r>
        <w:t>Key Discussion Points:</w:t>
      </w:r>
    </w:p>
    <w:p>
      <w:pPr>
        <w:pStyle w:val="ListBullet"/>
      </w:pPr>
      <w:r>
        <w:t>BPS compliance audit: active across all current markets; $1.4M budget</w:t>
      </w:r>
    </w:p>
    <w:p>
      <w:pPr>
        <w:pStyle w:val="ListBullet"/>
      </w:pPr>
      <w:r>
        <w:t>CRREM analysis underway portfolio-wide to determine stranding years and outline asset-level reduction pathways</w:t>
      </w:r>
    </w:p>
    <w:p>
      <w:pPr>
        <w:pStyle w:val="ListBullet"/>
      </w:pPr>
      <w:r>
        <w:t>All-electric standing-asset conversion pilot expanded from 1 to 3 assets</w:t>
      </w:r>
    </w:p>
    <w:p>
      <w:pPr>
        <w:pStyle w:val="ListBullet"/>
      </w:pPr>
      <w:r>
        <w:t>Rooftop solar feasibility study scoped for clubhouse &amp; common-area load ($310K)</w:t>
      </w:r>
    </w:p>
    <w:p>
      <w:pPr>
        <w:pStyle w:val="ListBullet"/>
      </w:pPr>
      <w:r>
        <w:t>Tenant utility-data app rollout in progress</w:t>
      </w:r>
    </w:p>
    <w:p>
      <w:pPr>
        <w:pStyle w:val="ListBullet"/>
      </w:pPr>
      <w:r>
        <w:t>Vendor contracts include green clause</w:t>
      </w:r>
    </w:p>
    <w:p>
      <w:pPr>
        <w:pStyle w:val="Heading2"/>
      </w:pPr>
      <w:r>
        <w:t>2023 — Annual ESG Review Call</w:t>
      </w:r>
    </w:p>
    <w:p>
      <w:pPr>
        <w:pStyle w:val="ListBullet"/>
      </w:pPr>
      <w:r>
        <w:t>Score: 68.40%</w:t>
      </w:r>
    </w:p>
    <w:p>
      <w:r>
        <w:t>Key Discussion Points:</w:t>
      </w:r>
    </w:p>
    <w:p>
      <w:pPr>
        <w:pStyle w:val="ListBullet"/>
      </w:pPr>
      <w:r>
        <w:t>BPS compliance audit launched across active markets</w:t>
      </w:r>
    </w:p>
    <w:p>
      <w:pPr>
        <w:pStyle w:val="ListBullet"/>
      </w:pPr>
      <w:r>
        <w:t>All-electric conversion pilot launched (1 asset)</w:t>
      </w:r>
    </w:p>
    <w:p>
      <w:pPr>
        <w:pStyle w:val="ListBullet"/>
      </w:pPr>
      <w:r>
        <w:t>Manual meter-read enrollment via utility management platform (whole-building data not shared by local utility)</w:t>
      </w:r>
    </w:p>
    <w:p>
      <w:pPr>
        <w:pStyle w:val="ListBullet"/>
      </w:pPr>
      <w:r>
        <w:t>Governance &amp; Resourcing at 48.33% — below fund and MIR averages</w:t>
      </w:r>
    </w:p>
    <w:p>
      <w:pPr>
        <w:pStyle w:val="ListBullet"/>
      </w:pPr>
      <w:r>
        <w:t>Net Zero Policy not yet formalized</w:t>
      </w:r>
    </w:p>
    <w:p>
      <w:pPr>
        <w:pStyle w:val="ListBullet"/>
      </w:pPr>
      <w:r>
        <w:t>No formalized green lease language</w:t>
      </w:r>
    </w:p>
    <w:p>
      <w:pPr>
        <w:pStyle w:val="Heading1"/>
      </w:pPr>
      <w:r>
        <w:t>3. DATA GAPS / OPEN ITEMS</w:t>
      </w:r>
    </w:p>
    <w:p>
      <w:pPr>
        <w:pStyle w:val="ListBullet"/>
      </w:pPr>
      <w:r>
        <w:t>First-party physical risk data not provided at asset level — portfolio-level rating used (Moderate-High: Heat, Drought, Severe Convective Storm)</w:t>
      </w:r>
    </w:p>
    <w:p>
      <w:pPr>
        <w:pStyle w:val="ListBullet"/>
      </w:pPr>
      <w:r>
        <w:t>CRREM stranding years not provided from source questionnaire — CRREM platform live call fills this gap</w:t>
      </w:r>
    </w:p>
    <w:p>
      <w:pPr>
        <w:pStyle w:val="ListBullet"/>
      </w:pPr>
      <w:r>
        <w:t>Green Street sector risk rating not provided</w:t>
      </w:r>
    </w:p>
    <w:p>
      <w:pPr>
        <w:pStyle w:val="ListBullet"/>
      </w:pPr>
      <w:r>
        <w:t>Formal Net Zero target year not yet set</w:t>
      </w:r>
    </w:p>
    <w:p>
      <w:pPr>
        <w:pStyle w:val="ListBullet"/>
      </w:pPr>
      <w:r>
        <w:t>Green lease framework not formalized</w:t>
      </w:r>
    </w:p>
    <w:p>
      <w:pPr>
        <w:pStyle w:val="ListBullet"/>
      </w:pPr>
      <w:r>
        <w:t>Fine exposure (BPS) not yet computed — pending jurisdiction-level compliance 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